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CF916" w14:textId="1BB62EA3" w:rsidR="001A3384" w:rsidRDefault="00A13D17" w:rsidP="00B451BE">
      <w:pPr>
        <w:jc w:val="center"/>
        <w:rPr>
          <w:b/>
        </w:rPr>
      </w:pPr>
      <w:r w:rsidRPr="001A3384">
        <w:rPr>
          <w:b/>
        </w:rPr>
        <w:t xml:space="preserve">Silver Bullet Therapeutics </w:t>
      </w:r>
      <w:r w:rsidR="00F9751B">
        <w:rPr>
          <w:b/>
        </w:rPr>
        <w:t>OrthoFuzIon</w:t>
      </w:r>
      <w:r w:rsidR="009F4C8F" w:rsidRPr="001A3384">
        <w:rPr>
          <w:b/>
        </w:rPr>
        <w:t xml:space="preserve"> </w:t>
      </w:r>
      <w:r w:rsidRPr="001A3384">
        <w:rPr>
          <w:b/>
        </w:rPr>
        <w:t>Screw System</w:t>
      </w:r>
    </w:p>
    <w:p w14:paraId="27FCA2C7" w14:textId="77777777" w:rsidR="00337ABF" w:rsidRPr="00DB1D17" w:rsidRDefault="00337ABF" w:rsidP="00B451BE">
      <w:pPr>
        <w:jc w:val="center"/>
        <w:rPr>
          <w:b/>
          <w:sz w:val="16"/>
          <w:szCs w:val="16"/>
        </w:rPr>
      </w:pPr>
    </w:p>
    <w:p w14:paraId="21FD6158" w14:textId="77777777" w:rsidR="001A3384" w:rsidRPr="00E46C7E" w:rsidRDefault="001A3384" w:rsidP="001A3384">
      <w:pPr>
        <w:rPr>
          <w:b/>
        </w:rPr>
      </w:pPr>
      <w:r w:rsidRPr="00E46C7E">
        <w:rPr>
          <w:b/>
          <w:noProof/>
        </w:rPr>
        <w:drawing>
          <wp:inline distT="0" distB="0" distL="0" distR="0" wp14:anchorId="4EDC6F11" wp14:editId="799DCD8B">
            <wp:extent cx="355600" cy="274370"/>
            <wp:effectExtent l="25400" t="0" r="0" b="0"/>
            <wp:docPr id="12" name="Picture 18" descr="m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g.jpg"/>
                    <pic:cNvPicPr/>
                  </pic:nvPicPr>
                  <pic:blipFill>
                    <a:blip r:embed="rId7"/>
                    <a:srcRect r="42000"/>
                    <a:stretch>
                      <a:fillRect/>
                    </a:stretch>
                  </pic:blipFill>
                  <pic:spPr>
                    <a:xfrm>
                      <a:off x="0" y="0"/>
                      <a:ext cx="358957" cy="2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C3787" w14:textId="77777777" w:rsidR="001A3384" w:rsidRPr="00D72F75" w:rsidRDefault="001A3384" w:rsidP="001A3384">
      <w:pPr>
        <w:rPr>
          <w:b/>
          <w:u w:val="single"/>
        </w:rPr>
      </w:pPr>
      <w:r w:rsidRPr="00D72F75">
        <w:rPr>
          <w:b/>
          <w:u w:val="single"/>
        </w:rPr>
        <w:t>Manufacturer:</w:t>
      </w:r>
    </w:p>
    <w:p w14:paraId="6E3ADF40" w14:textId="77777777" w:rsidR="001A3384" w:rsidRDefault="001A3384" w:rsidP="001A3384">
      <w:r>
        <w:t>Silver Bullet Therapeutics, Inc.</w:t>
      </w:r>
    </w:p>
    <w:p w14:paraId="639396B4" w14:textId="77777777" w:rsidR="001A3384" w:rsidRDefault="001A3384" w:rsidP="001A3384">
      <w:r>
        <w:t>2362 Qume Drive</w:t>
      </w:r>
    </w:p>
    <w:p w14:paraId="30096C5B" w14:textId="77777777" w:rsidR="001A3384" w:rsidRDefault="001A3384" w:rsidP="001A3384">
      <w:r>
        <w:t>Suite D</w:t>
      </w:r>
    </w:p>
    <w:p w14:paraId="748EA749" w14:textId="77777777" w:rsidR="001A3384" w:rsidRDefault="001A3384" w:rsidP="001A3384">
      <w:r>
        <w:t>San Jose, CA 95131</w:t>
      </w:r>
    </w:p>
    <w:p w14:paraId="1FB49F9F" w14:textId="77777777" w:rsidR="001A3384" w:rsidRPr="00DB1D17" w:rsidRDefault="001A3384" w:rsidP="001A3384">
      <w:pPr>
        <w:rPr>
          <w:sz w:val="16"/>
          <w:szCs w:val="16"/>
        </w:rPr>
      </w:pPr>
    </w:p>
    <w:p w14:paraId="6F5C533A" w14:textId="77777777" w:rsidR="001A3384" w:rsidRDefault="001A3384" w:rsidP="001A3384">
      <w:r>
        <w:t>Phone:</w:t>
      </w:r>
      <w:r>
        <w:tab/>
        <w:t>+1 408.436.7500</w:t>
      </w:r>
    </w:p>
    <w:p w14:paraId="2D9E82CD" w14:textId="2E0FF24D" w:rsidR="00452F78" w:rsidRDefault="00452F78" w:rsidP="001A3384">
      <w:r>
        <w:t>Web:</w:t>
      </w:r>
      <w:r>
        <w:tab/>
      </w:r>
      <w:hyperlink r:id="rId8" w:history="1">
        <w:r w:rsidR="00C71A5F" w:rsidRPr="003E4AAD">
          <w:rPr>
            <w:rStyle w:val="Hyperlink"/>
          </w:rPr>
          <w:t>www.svbtx.com</w:t>
        </w:r>
      </w:hyperlink>
    </w:p>
    <w:p w14:paraId="4E357359" w14:textId="197CB392" w:rsidR="00C71A5F" w:rsidRDefault="00C71A5F" w:rsidP="001A3384">
      <w:r>
        <w:t>Information: info@svbtx.com</w:t>
      </w:r>
    </w:p>
    <w:p w14:paraId="350CAEDE" w14:textId="77777777" w:rsidR="001A3384" w:rsidRPr="00DB1D17" w:rsidRDefault="001A3384" w:rsidP="001A3384">
      <w:pPr>
        <w:rPr>
          <w:b/>
          <w:sz w:val="16"/>
          <w:szCs w:val="16"/>
        </w:rPr>
      </w:pPr>
    </w:p>
    <w:p w14:paraId="429D3D8F" w14:textId="77777777" w:rsidR="001A3384" w:rsidRPr="00460B2C" w:rsidRDefault="001A3384" w:rsidP="001A3384">
      <w:pPr>
        <w:rPr>
          <w:b/>
        </w:rPr>
      </w:pPr>
      <w:r w:rsidRPr="00460B2C">
        <w:rPr>
          <w:b/>
          <w:noProof/>
        </w:rPr>
        <w:drawing>
          <wp:inline distT="0" distB="0" distL="0" distR="0" wp14:anchorId="35E33CB1" wp14:editId="699C1B0E">
            <wp:extent cx="467196" cy="247816"/>
            <wp:effectExtent l="25400" t="0" r="0" b="0"/>
            <wp:docPr id="13" name="Picture 17" descr="ec 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 rep.jpg"/>
                    <pic:cNvPicPr/>
                  </pic:nvPicPr>
                  <pic:blipFill>
                    <a:blip r:embed="rId9"/>
                    <a:srcRect t="27628" b="31814"/>
                    <a:stretch>
                      <a:fillRect/>
                    </a:stretch>
                  </pic:blipFill>
                  <pic:spPr>
                    <a:xfrm>
                      <a:off x="0" y="0"/>
                      <a:ext cx="466130" cy="24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F78A8" w14:textId="77777777" w:rsidR="001A3384" w:rsidRPr="00460B2C" w:rsidRDefault="001A3384" w:rsidP="001A3384">
      <w:pPr>
        <w:rPr>
          <w:u w:val="single"/>
        </w:rPr>
      </w:pPr>
      <w:r w:rsidRPr="00460B2C">
        <w:rPr>
          <w:b/>
          <w:u w:val="single"/>
        </w:rPr>
        <w:t>Name and Address of European Representative:</w:t>
      </w:r>
    </w:p>
    <w:p w14:paraId="215233A4" w14:textId="0305F29E" w:rsidR="003401BD" w:rsidRDefault="003401BD" w:rsidP="00E86045">
      <w:pPr>
        <w:tabs>
          <w:tab w:val="left" w:pos="1440"/>
        </w:tabs>
        <w:rPr>
          <w:snapToGrid w:val="0"/>
          <w:color w:val="000000"/>
        </w:rPr>
      </w:pPr>
      <w:proofErr w:type="spellStart"/>
      <w:r>
        <w:rPr>
          <w:snapToGrid w:val="0"/>
          <w:color w:val="000000"/>
        </w:rPr>
        <w:t>eucerep</w:t>
      </w:r>
      <w:proofErr w:type="spellEnd"/>
    </w:p>
    <w:p w14:paraId="25D87AFA" w14:textId="7FA5499C" w:rsidR="00E86045" w:rsidRDefault="003401BD" w:rsidP="001A3384">
      <w:pPr>
        <w:tabs>
          <w:tab w:val="left" w:pos="144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Roald </w:t>
      </w:r>
      <w:proofErr w:type="spellStart"/>
      <w:r>
        <w:rPr>
          <w:snapToGrid w:val="0"/>
          <w:color w:val="000000"/>
        </w:rPr>
        <w:t>Dahllaan</w:t>
      </w:r>
      <w:proofErr w:type="spellEnd"/>
      <w:r>
        <w:rPr>
          <w:snapToGrid w:val="0"/>
          <w:color w:val="000000"/>
        </w:rPr>
        <w:t xml:space="preserve"> 33, 5629MC</w:t>
      </w:r>
    </w:p>
    <w:p w14:paraId="436CF357" w14:textId="3468718A" w:rsidR="003401BD" w:rsidRDefault="003401BD" w:rsidP="001A3384">
      <w:pPr>
        <w:tabs>
          <w:tab w:val="left" w:pos="1440"/>
        </w:tabs>
        <w:rPr>
          <w:snapToGrid w:val="0"/>
          <w:color w:val="000000"/>
        </w:rPr>
      </w:pPr>
      <w:r>
        <w:rPr>
          <w:snapToGrid w:val="0"/>
          <w:color w:val="000000"/>
        </w:rPr>
        <w:t>Eindhoven,</w:t>
      </w:r>
    </w:p>
    <w:p w14:paraId="4085FCF8" w14:textId="0973CFFA" w:rsidR="001A3384" w:rsidRDefault="003401BD" w:rsidP="001A3384">
      <w:pPr>
        <w:tabs>
          <w:tab w:val="left" w:pos="1440"/>
        </w:tabs>
        <w:rPr>
          <w:snapToGrid w:val="0"/>
          <w:color w:val="000000"/>
        </w:rPr>
      </w:pPr>
      <w:r>
        <w:rPr>
          <w:snapToGrid w:val="0"/>
          <w:color w:val="000000"/>
        </w:rPr>
        <w:t>The Netherlands</w:t>
      </w:r>
      <w:r w:rsidR="001A3384">
        <w:rPr>
          <w:snapToGrid w:val="0"/>
          <w:color w:val="000000"/>
        </w:rPr>
        <w:t xml:space="preserve"> </w:t>
      </w:r>
    </w:p>
    <w:p w14:paraId="26619569" w14:textId="77777777" w:rsidR="001A3384" w:rsidRPr="00DB1D17" w:rsidRDefault="001A3384" w:rsidP="001A3384">
      <w:pPr>
        <w:rPr>
          <w:sz w:val="16"/>
          <w:szCs w:val="16"/>
        </w:rPr>
      </w:pPr>
    </w:p>
    <w:p w14:paraId="08ADA814" w14:textId="2B948042" w:rsidR="001A3384" w:rsidRDefault="001A3384" w:rsidP="001A3384">
      <w:r>
        <w:t>English</w:t>
      </w:r>
      <w:r w:rsidR="00944ACF">
        <w:t xml:space="preserve"> </w:t>
      </w:r>
    </w:p>
    <w:p w14:paraId="0915ACF5" w14:textId="77777777" w:rsidR="001A3384" w:rsidRPr="00DB1D17" w:rsidRDefault="001A3384" w:rsidP="001A3384">
      <w:pPr>
        <w:rPr>
          <w:sz w:val="16"/>
          <w:szCs w:val="16"/>
        </w:rPr>
      </w:pPr>
    </w:p>
    <w:p w14:paraId="1F98F47E" w14:textId="77777777" w:rsidR="001A3384" w:rsidRDefault="001A3384" w:rsidP="001A3384">
      <w:r>
        <w:t>Non-Active Implant</w:t>
      </w:r>
    </w:p>
    <w:p w14:paraId="49E8562C" w14:textId="77777777" w:rsidR="001A3384" w:rsidRPr="00DB1D17" w:rsidRDefault="001A3384" w:rsidP="001A3384">
      <w:pPr>
        <w:rPr>
          <w:sz w:val="16"/>
          <w:szCs w:val="16"/>
        </w:rPr>
      </w:pPr>
    </w:p>
    <w:p w14:paraId="713EAC00" w14:textId="77777777" w:rsidR="001A3384" w:rsidRPr="00EA4697" w:rsidRDefault="001A3384" w:rsidP="001A3384">
      <w:pPr>
        <w:rPr>
          <w:b/>
          <w:i/>
        </w:rPr>
      </w:pPr>
      <w:r w:rsidRPr="00EA4697">
        <w:rPr>
          <w:b/>
          <w:i/>
        </w:rPr>
        <w:t>Explanation of symbols and abbreviations used on product labels:</w:t>
      </w:r>
    </w:p>
    <w:tbl>
      <w:tblPr>
        <w:tblW w:w="87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5827"/>
      </w:tblGrid>
      <w:tr w:rsidR="001A3384" w:rsidRPr="007F57DD" w14:paraId="2C7B6841" w14:textId="77777777" w:rsidTr="00CC3A58">
        <w:trPr>
          <w:trHeight w:val="530"/>
        </w:trPr>
        <w:tc>
          <w:tcPr>
            <w:tcW w:w="2880" w:type="dxa"/>
            <w:shd w:val="clear" w:color="auto" w:fill="auto"/>
            <w:vAlign w:val="center"/>
          </w:tcPr>
          <w:p w14:paraId="0C5969EC" w14:textId="77777777" w:rsidR="001A3384" w:rsidRPr="007F57DD" w:rsidRDefault="001A3384" w:rsidP="009F64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C6D03D" wp14:editId="61E4C56E">
                  <wp:extent cx="910883" cy="187960"/>
                  <wp:effectExtent l="0" t="0" r="381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195" cy="19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5D414831" w14:textId="1664CCDF" w:rsidR="001A3384" w:rsidRPr="007F57DD" w:rsidRDefault="001A3384" w:rsidP="007D7723">
            <w:pPr>
              <w:jc w:val="center"/>
            </w:pPr>
            <w:r w:rsidRPr="007F57DD">
              <w:t>Steril</w:t>
            </w:r>
            <w:r w:rsidR="006429D3">
              <w:t>ized Using Irr</w:t>
            </w:r>
            <w:r w:rsidRPr="007F57DD">
              <w:t>adiation</w:t>
            </w:r>
          </w:p>
        </w:tc>
      </w:tr>
      <w:tr w:rsidR="001A3384" w:rsidRPr="007F57DD" w14:paraId="051D868C" w14:textId="77777777" w:rsidTr="00DB1D17">
        <w:trPr>
          <w:trHeight w:val="755"/>
        </w:trPr>
        <w:tc>
          <w:tcPr>
            <w:tcW w:w="2880" w:type="dxa"/>
            <w:shd w:val="clear" w:color="auto" w:fill="auto"/>
            <w:vAlign w:val="center"/>
          </w:tcPr>
          <w:p w14:paraId="155B4109" w14:textId="173DC6BB" w:rsidR="007D7723" w:rsidRDefault="00AB4DF0" w:rsidP="009F647D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7FDB4E6" wp14:editId="1B11A18A">
                  <wp:extent cx="330835" cy="23631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4255" cy="24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EED26" w14:textId="77777777" w:rsidR="00AB4DF0" w:rsidRDefault="00AB4DF0" w:rsidP="009F647D">
            <w:pPr>
              <w:jc w:val="center"/>
              <w:rPr>
                <w:sz w:val="16"/>
                <w:szCs w:val="16"/>
              </w:rPr>
            </w:pPr>
          </w:p>
          <w:p w14:paraId="68DAAB51" w14:textId="456D93D7" w:rsidR="007D7723" w:rsidRPr="007D7723" w:rsidRDefault="00C71A5F" w:rsidP="009F647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51ED5B" wp14:editId="5E0B79CC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8610600</wp:posOffset>
                      </wp:positionV>
                      <wp:extent cx="457200" cy="191770"/>
                      <wp:effectExtent l="0" t="0" r="25400" b="3683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85522" w14:textId="77777777" w:rsidR="00C71A5F" w:rsidRDefault="00C71A5F" w:rsidP="007D7723">
                                  <w:pPr>
                                    <w:ind w:left="-90" w:right="-662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0050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1ED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82.2pt;margin-top:678pt;width:36pt;height:1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" strokecolor="white">
                      <v:textbox>
                        <w:txbxContent>
                          <w:p w14:paraId="4B285522" w14:textId="77777777" w:rsidR="00C71A5F" w:rsidRDefault="00C71A5F" w:rsidP="007D7723">
                            <w:pPr>
                              <w:ind w:left="-90" w:right="-66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0050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4C7AB8" wp14:editId="060CEF77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8610600</wp:posOffset>
                      </wp:positionV>
                      <wp:extent cx="457200" cy="191770"/>
                      <wp:effectExtent l="0" t="0" r="25400" b="3683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BCD6D" w14:textId="77777777" w:rsidR="00C71A5F" w:rsidRDefault="00C71A5F" w:rsidP="007D7723">
                                  <w:pPr>
                                    <w:ind w:left="-90" w:right="-662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0050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7AB8" id="Text Box 3" o:spid="_x0000_s1027" type="#_x0000_t202" style="position:absolute;left:0;text-align:left;margin-left:382.2pt;margin-top:678pt;width:36pt;height:1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" strokecolor="white">
                      <v:textbox>
                        <w:txbxContent>
                          <w:p w14:paraId="51FBCD6D" w14:textId="77777777" w:rsidR="00C71A5F" w:rsidRDefault="00C71A5F" w:rsidP="007D7723">
                            <w:pPr>
                              <w:ind w:left="-90" w:right="-66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0050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4B5D35" wp14:editId="1B437DD7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8610600</wp:posOffset>
                      </wp:positionV>
                      <wp:extent cx="457200" cy="191770"/>
                      <wp:effectExtent l="0" t="0" r="25400" b="3683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98A83" w14:textId="77777777" w:rsidR="00C71A5F" w:rsidRDefault="00C71A5F" w:rsidP="007D7723">
                                  <w:pPr>
                                    <w:ind w:left="-90" w:right="-662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0050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B5D35" id="Text Box 4" o:spid="_x0000_s1028" type="#_x0000_t202" style="position:absolute;left:0;text-align:left;margin-left:382.2pt;margin-top:678pt;width:36pt;height:1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" strokecolor="white">
                      <v:textbox>
                        <w:txbxContent>
                          <w:p w14:paraId="01098A83" w14:textId="77777777" w:rsidR="00C71A5F" w:rsidRDefault="00C71A5F" w:rsidP="007D7723">
                            <w:pPr>
                              <w:ind w:left="-90" w:right="-66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0050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2195</w:t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27EB3358" w14:textId="77777777" w:rsidR="001A3384" w:rsidRPr="007F57DD" w:rsidRDefault="007D7723" w:rsidP="007D7723">
            <w:pPr>
              <w:jc w:val="center"/>
            </w:pPr>
            <w:r>
              <w:t>CE Mark</w:t>
            </w:r>
          </w:p>
        </w:tc>
      </w:tr>
      <w:tr w:rsidR="001A3384" w:rsidRPr="007F57DD" w14:paraId="53A8DBDD" w14:textId="77777777" w:rsidTr="00DB1D17">
        <w:trPr>
          <w:trHeight w:val="503"/>
        </w:trPr>
        <w:tc>
          <w:tcPr>
            <w:tcW w:w="2880" w:type="dxa"/>
            <w:shd w:val="clear" w:color="auto" w:fill="auto"/>
            <w:vAlign w:val="center"/>
          </w:tcPr>
          <w:p w14:paraId="58BF5896" w14:textId="77777777" w:rsidR="001A3384" w:rsidRPr="00971932" w:rsidRDefault="00047E25" w:rsidP="009F64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04B1D08" wp14:editId="7CA58FBF">
                  <wp:extent cx="408199" cy="368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792" cy="36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3FB66761" w14:textId="77777777" w:rsidR="001A3384" w:rsidRDefault="007D7723" w:rsidP="007D7723">
            <w:pPr>
              <w:jc w:val="center"/>
            </w:pPr>
            <w:r>
              <w:t>Date of Manufacture</w:t>
            </w:r>
          </w:p>
        </w:tc>
      </w:tr>
      <w:tr w:rsidR="001A3384" w:rsidRPr="007F57DD" w14:paraId="760D9B9E" w14:textId="77777777" w:rsidTr="00DB1D17">
        <w:trPr>
          <w:trHeight w:val="485"/>
        </w:trPr>
        <w:tc>
          <w:tcPr>
            <w:tcW w:w="2880" w:type="dxa"/>
            <w:shd w:val="clear" w:color="auto" w:fill="auto"/>
            <w:vAlign w:val="center"/>
          </w:tcPr>
          <w:p w14:paraId="482964EC" w14:textId="77777777" w:rsidR="001A3384" w:rsidRPr="00F2329D" w:rsidRDefault="007D7723" w:rsidP="009F647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889C67" wp14:editId="71E50BBC">
                  <wp:extent cx="304800" cy="296545"/>
                  <wp:effectExtent l="0" t="0" r="0" b="8255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7711844E" w14:textId="4CBC39D9" w:rsidR="001A3384" w:rsidRPr="007F57DD" w:rsidRDefault="007D7723" w:rsidP="007D7723">
            <w:pPr>
              <w:jc w:val="center"/>
            </w:pPr>
            <w:r w:rsidRPr="007D7723">
              <w:t>Do not use if package is damaged</w:t>
            </w:r>
          </w:p>
        </w:tc>
      </w:tr>
      <w:tr w:rsidR="001A3384" w:rsidRPr="007F57DD" w14:paraId="6BD44F65" w14:textId="77777777" w:rsidTr="00CC3A58">
        <w:trPr>
          <w:trHeight w:val="692"/>
        </w:trPr>
        <w:tc>
          <w:tcPr>
            <w:tcW w:w="2880" w:type="dxa"/>
            <w:shd w:val="clear" w:color="auto" w:fill="auto"/>
            <w:vAlign w:val="center"/>
          </w:tcPr>
          <w:p w14:paraId="5A44DA0A" w14:textId="58209561" w:rsidR="001A3384" w:rsidRPr="00E46C7E" w:rsidRDefault="007D7723" w:rsidP="009F647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000FEC" wp14:editId="4C6FCED7">
                  <wp:extent cx="317500" cy="294640"/>
                  <wp:effectExtent l="0" t="0" r="6350" b="0"/>
                  <wp:docPr id="1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032925B7" w14:textId="17D9164C" w:rsidR="0087213F" w:rsidRPr="00BC7AA3" w:rsidRDefault="007D7723" w:rsidP="0087213F">
            <w:r w:rsidRPr="007D7723">
              <w:t>MR Conditional</w:t>
            </w:r>
            <w:r w:rsidR="0087213F">
              <w:t xml:space="preserve"> - </w:t>
            </w:r>
            <w:r w:rsidR="0087213F" w:rsidRPr="00BC7AA3">
              <w:t xml:space="preserve">MR Conditional - Non-clinical testing and analysis has demonstrated that the </w:t>
            </w:r>
            <w:r w:rsidR="00DC745A">
              <w:t>OrthoFuzIon Bone Screw</w:t>
            </w:r>
            <w:r w:rsidR="0087213F" w:rsidRPr="00BC7AA3">
              <w:t xml:space="preserve"> is MR Conditional as defined in ASTM F2503. At any time after implantation, a patient with </w:t>
            </w:r>
            <w:r w:rsidR="00DC745A">
              <w:t>an OrthoFuzIon Bone Screw</w:t>
            </w:r>
            <w:r w:rsidR="0087213F" w:rsidRPr="00BC7AA3">
              <w:t xml:space="preserve"> can be scanned safely in a clinical MR scanner with field strength of 3.0 T or less.</w:t>
            </w:r>
          </w:p>
          <w:p w14:paraId="1E6D8D59" w14:textId="67DF78C6" w:rsidR="001A3384" w:rsidRPr="007F57DD" w:rsidRDefault="001A3384" w:rsidP="007D7723">
            <w:pPr>
              <w:jc w:val="center"/>
            </w:pPr>
          </w:p>
        </w:tc>
      </w:tr>
      <w:tr w:rsidR="00BF3B31" w:rsidRPr="007F57DD" w14:paraId="295FF123" w14:textId="77777777" w:rsidTr="00DB1D17">
        <w:trPr>
          <w:trHeight w:val="485"/>
        </w:trPr>
        <w:tc>
          <w:tcPr>
            <w:tcW w:w="2880" w:type="dxa"/>
            <w:shd w:val="clear" w:color="auto" w:fill="auto"/>
            <w:vAlign w:val="center"/>
          </w:tcPr>
          <w:p w14:paraId="743C3902" w14:textId="77777777" w:rsidR="00BF3B31" w:rsidRDefault="00BF3B31" w:rsidP="009F647D">
            <w:pPr>
              <w:jc w:val="center"/>
              <w:rPr>
                <w:noProof/>
              </w:rPr>
            </w:pPr>
            <w:r w:rsidRPr="005A3434">
              <w:rPr>
                <w:noProof/>
              </w:rPr>
              <w:drawing>
                <wp:inline distT="0" distB="0" distL="0" distR="0" wp14:anchorId="60B29598" wp14:editId="3E21C5CE">
                  <wp:extent cx="292735" cy="283065"/>
                  <wp:effectExtent l="0" t="0" r="1206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64" cy="30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456406A6" w14:textId="77777777" w:rsidR="00BF3B31" w:rsidRPr="00BC7AA3" w:rsidRDefault="00BF3B31" w:rsidP="0001584A">
            <w:pPr>
              <w:jc w:val="center"/>
            </w:pPr>
            <w:r>
              <w:t>Caution</w:t>
            </w:r>
          </w:p>
        </w:tc>
      </w:tr>
      <w:tr w:rsidR="001A3384" w:rsidRPr="007F57DD" w14:paraId="343BA373" w14:textId="77777777" w:rsidTr="00DB1D17">
        <w:trPr>
          <w:trHeight w:val="458"/>
        </w:trPr>
        <w:tc>
          <w:tcPr>
            <w:tcW w:w="2880" w:type="dxa"/>
            <w:shd w:val="clear" w:color="auto" w:fill="auto"/>
            <w:vAlign w:val="center"/>
          </w:tcPr>
          <w:p w14:paraId="4AF6BB25" w14:textId="77777777" w:rsidR="001A3384" w:rsidRPr="00F2329D" w:rsidRDefault="007D7723" w:rsidP="009F647D">
            <w:pPr>
              <w:jc w:val="center"/>
              <w:rPr>
                <w:noProof/>
              </w:rPr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785EDC8D" wp14:editId="6A40143E">
                  <wp:extent cx="238125" cy="171450"/>
                  <wp:effectExtent l="0" t="0" r="0" b="0"/>
                  <wp:docPr id="20" name="Picture 20" descr="http://www.fertipro.com/images/symbols/read_ifu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ertipro.com/images/symbols/read_ifu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7676522E" w14:textId="0097EA21" w:rsidR="001A3384" w:rsidRPr="007F57DD" w:rsidRDefault="00F21421" w:rsidP="007D7723">
            <w:pPr>
              <w:jc w:val="center"/>
            </w:pPr>
            <w:r>
              <w:t>Consult</w:t>
            </w:r>
            <w:r w:rsidR="007D7723" w:rsidRPr="007D7723">
              <w:t xml:space="preserve"> Instructions for Use</w:t>
            </w:r>
          </w:p>
        </w:tc>
      </w:tr>
      <w:tr w:rsidR="001A3384" w:rsidRPr="007F57DD" w14:paraId="02CD5B15" w14:textId="77777777" w:rsidTr="00DB1D17">
        <w:trPr>
          <w:trHeight w:val="413"/>
        </w:trPr>
        <w:tc>
          <w:tcPr>
            <w:tcW w:w="2880" w:type="dxa"/>
            <w:shd w:val="clear" w:color="auto" w:fill="auto"/>
            <w:vAlign w:val="center"/>
          </w:tcPr>
          <w:p w14:paraId="6EFA4C9D" w14:textId="77777777" w:rsidR="001A3384" w:rsidRPr="007F57DD" w:rsidRDefault="001A3384" w:rsidP="009F64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5574A7" wp14:editId="6468F43F">
                  <wp:extent cx="99060" cy="190500"/>
                  <wp:effectExtent l="0" t="0" r="0" b="0"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135A1B13" w14:textId="5EFDB420" w:rsidR="001A3384" w:rsidRPr="007F57DD" w:rsidRDefault="006429D3" w:rsidP="007D7723">
            <w:pPr>
              <w:jc w:val="center"/>
            </w:pPr>
            <w:r>
              <w:t>Use by</w:t>
            </w:r>
            <w:r w:rsidR="006A1524">
              <w:t xml:space="preserve"> YYYY-MM</w:t>
            </w:r>
          </w:p>
        </w:tc>
      </w:tr>
      <w:tr w:rsidR="001A3384" w:rsidRPr="007F57DD" w14:paraId="2355A2B0" w14:textId="77777777" w:rsidTr="00DB1D17">
        <w:trPr>
          <w:trHeight w:val="458"/>
        </w:trPr>
        <w:tc>
          <w:tcPr>
            <w:tcW w:w="2880" w:type="dxa"/>
            <w:shd w:val="clear" w:color="auto" w:fill="auto"/>
            <w:vAlign w:val="center"/>
          </w:tcPr>
          <w:p w14:paraId="1B2BEA6E" w14:textId="77777777" w:rsidR="001A3384" w:rsidRPr="006A1524" w:rsidRDefault="007D7723" w:rsidP="009F64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6EFCF7" wp14:editId="21EB4EAC">
                  <wp:extent cx="220980" cy="220980"/>
                  <wp:effectExtent l="0" t="0" r="7620" b="762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7ECD4178" w14:textId="77777777" w:rsidR="001A3384" w:rsidRPr="007F57DD" w:rsidRDefault="007D7723" w:rsidP="007D7723">
            <w:pPr>
              <w:jc w:val="center"/>
            </w:pPr>
            <w:r>
              <w:t>Single Use</w:t>
            </w:r>
          </w:p>
        </w:tc>
      </w:tr>
      <w:tr w:rsidR="001A3384" w:rsidRPr="007F57DD" w14:paraId="07FC5C3E" w14:textId="77777777" w:rsidTr="00DB1D17">
        <w:trPr>
          <w:trHeight w:val="548"/>
        </w:trPr>
        <w:tc>
          <w:tcPr>
            <w:tcW w:w="2880" w:type="dxa"/>
            <w:shd w:val="clear" w:color="auto" w:fill="auto"/>
            <w:vAlign w:val="center"/>
          </w:tcPr>
          <w:p w14:paraId="274F0AC9" w14:textId="77777777" w:rsidR="001A3384" w:rsidRPr="007F57DD" w:rsidRDefault="001A3384" w:rsidP="009F64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35E623" wp14:editId="3DCABBC2">
                  <wp:extent cx="388620" cy="198120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1E5D9A7C" w14:textId="77777777" w:rsidR="001A3384" w:rsidRPr="007F57DD" w:rsidRDefault="001A3384" w:rsidP="007D7723">
            <w:pPr>
              <w:jc w:val="center"/>
            </w:pPr>
            <w:r w:rsidRPr="007F57DD">
              <w:t>Lot or batch number</w:t>
            </w:r>
          </w:p>
        </w:tc>
      </w:tr>
      <w:tr w:rsidR="001A3384" w:rsidRPr="007F57DD" w14:paraId="5C6A0B89" w14:textId="77777777" w:rsidTr="00DB1D17">
        <w:trPr>
          <w:trHeight w:val="584"/>
        </w:trPr>
        <w:tc>
          <w:tcPr>
            <w:tcW w:w="2880" w:type="dxa"/>
            <w:shd w:val="clear" w:color="auto" w:fill="auto"/>
            <w:vAlign w:val="center"/>
          </w:tcPr>
          <w:p w14:paraId="776B7E27" w14:textId="77777777" w:rsidR="001A3384" w:rsidRPr="004518E8" w:rsidRDefault="007D7723" w:rsidP="009F64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91E2A9" wp14:editId="68B1376C">
                  <wp:extent cx="411480" cy="251460"/>
                  <wp:effectExtent l="0" t="0" r="7620" b="0"/>
                  <wp:docPr id="53" name="Picture 53" descr="Catalog/Reorder Numb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Catalog/Reorder Number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71D390E1" w14:textId="77777777" w:rsidR="001A3384" w:rsidRPr="004518E8" w:rsidRDefault="007D7723" w:rsidP="007D7723">
            <w:pPr>
              <w:jc w:val="center"/>
            </w:pPr>
            <w:r>
              <w:t>Catalog or Model Number</w:t>
            </w:r>
          </w:p>
        </w:tc>
      </w:tr>
      <w:tr w:rsidR="001A3384" w:rsidRPr="007F57DD" w14:paraId="5EAC1F14" w14:textId="77777777" w:rsidTr="005C7D5E">
        <w:trPr>
          <w:trHeight w:val="368"/>
        </w:trPr>
        <w:tc>
          <w:tcPr>
            <w:tcW w:w="2880" w:type="dxa"/>
            <w:shd w:val="clear" w:color="auto" w:fill="auto"/>
            <w:vAlign w:val="center"/>
          </w:tcPr>
          <w:p w14:paraId="6B497416" w14:textId="77777777" w:rsidR="001A3384" w:rsidRPr="006A1524" w:rsidRDefault="009C758E" w:rsidP="009F64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A815C1" wp14:editId="5857800D">
                  <wp:extent cx="279400" cy="279400"/>
                  <wp:effectExtent l="2540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7BF770B7" w14:textId="77777777" w:rsidR="001A3384" w:rsidRPr="007F57DD" w:rsidRDefault="006A1524" w:rsidP="007D7723">
            <w:pPr>
              <w:jc w:val="center"/>
            </w:pPr>
            <w:r>
              <w:t>Do not re</w:t>
            </w:r>
            <w:r w:rsidR="00DB27AC">
              <w:t>-</w:t>
            </w:r>
            <w:r>
              <w:t>sterilize</w:t>
            </w:r>
          </w:p>
        </w:tc>
      </w:tr>
      <w:tr w:rsidR="002F11E3" w:rsidRPr="0067544E" w14:paraId="32FCBCD4" w14:textId="77777777" w:rsidTr="0010132A">
        <w:trPr>
          <w:trHeight w:val="566"/>
        </w:trPr>
        <w:tc>
          <w:tcPr>
            <w:tcW w:w="2880" w:type="dxa"/>
            <w:shd w:val="clear" w:color="auto" w:fill="auto"/>
            <w:vAlign w:val="center"/>
          </w:tcPr>
          <w:p w14:paraId="248A06EC" w14:textId="77777777" w:rsidR="002F11E3" w:rsidRPr="0067544E" w:rsidRDefault="002F11E3" w:rsidP="00101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5C6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24E4DA26" wp14:editId="7A91A211">
                  <wp:extent cx="368281" cy="375797"/>
                  <wp:effectExtent l="0" t="381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78119" cy="385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5E385AB5" w14:textId="77777777" w:rsidR="002F11E3" w:rsidRPr="0067544E" w:rsidRDefault="002F11E3" w:rsidP="0010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Non-pyrogenic</w:t>
            </w:r>
          </w:p>
        </w:tc>
      </w:tr>
    </w:tbl>
    <w:p w14:paraId="0C313330" w14:textId="77777777" w:rsidR="007D7723" w:rsidRDefault="007D7723">
      <w:pPr>
        <w:rPr>
          <w:rFonts w:ascii="Times New Roman" w:eastAsia="Times New Roman" w:hAnsi="Times New Roman"/>
          <w:b/>
          <w:color w:val="000000"/>
          <w:u w:val="single"/>
        </w:rPr>
      </w:pPr>
    </w:p>
    <w:p w14:paraId="568561A6" w14:textId="77777777" w:rsidR="000B2539" w:rsidRPr="00372045" w:rsidRDefault="00A13D17">
      <w:pPr>
        <w:rPr>
          <w:rFonts w:ascii="Times New Roman" w:eastAsia="Times New Roman" w:hAnsi="Times New Roman"/>
          <w:b/>
          <w:color w:val="000000"/>
        </w:rPr>
      </w:pPr>
      <w:r w:rsidRPr="00372045">
        <w:rPr>
          <w:rFonts w:ascii="Times New Roman" w:eastAsia="Times New Roman" w:hAnsi="Times New Roman"/>
          <w:b/>
          <w:color w:val="000000"/>
          <w:u w:val="single"/>
        </w:rPr>
        <w:t>Device Description</w:t>
      </w:r>
      <w:r w:rsidRPr="00372045">
        <w:rPr>
          <w:rFonts w:ascii="Times New Roman" w:eastAsia="Times New Roman" w:hAnsi="Times New Roman"/>
          <w:b/>
          <w:color w:val="000000"/>
        </w:rPr>
        <w:tab/>
      </w:r>
    </w:p>
    <w:p w14:paraId="112CAB7A" w14:textId="77777777" w:rsidR="00C71A5F" w:rsidRPr="003453A2" w:rsidRDefault="00C71A5F" w:rsidP="00C71A5F">
      <w:p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 xml:space="preserve">The Silver Bullet Therapeutics </w:t>
      </w:r>
      <w:r>
        <w:rPr>
          <w:rFonts w:ascii="Times New Roman" w:hAnsi="Times New Roman"/>
        </w:rPr>
        <w:t xml:space="preserve">OrthoFuzIon Bone Screw System </w:t>
      </w:r>
      <w:r w:rsidRPr="003453A2">
        <w:rPr>
          <w:rFonts w:ascii="Times New Roman" w:hAnsi="Times New Roman"/>
        </w:rPr>
        <w:t xml:space="preserve">is a </w:t>
      </w:r>
      <w:r>
        <w:rPr>
          <w:rFonts w:ascii="Times New Roman" w:hAnsi="Times New Roman"/>
        </w:rPr>
        <w:t xml:space="preserve">bone screw </w:t>
      </w:r>
      <w:r w:rsidRPr="003453A2">
        <w:rPr>
          <w:rFonts w:ascii="Times New Roman" w:hAnsi="Times New Roman"/>
        </w:rPr>
        <w:t xml:space="preserve">system composed of single use devices for the fixation, correction </w:t>
      </w:r>
      <w:r>
        <w:rPr>
          <w:rFonts w:ascii="Times New Roman" w:hAnsi="Times New Roman"/>
        </w:rPr>
        <w:t>and/</w:t>
      </w:r>
      <w:r w:rsidRPr="003453A2">
        <w:rPr>
          <w:rFonts w:ascii="Times New Roman" w:hAnsi="Times New Roman"/>
        </w:rPr>
        <w:t>or stabilization of bones</w:t>
      </w:r>
      <w:r>
        <w:rPr>
          <w:rFonts w:ascii="Times New Roman" w:hAnsi="Times New Roman"/>
        </w:rPr>
        <w:t xml:space="preserve">. </w:t>
      </w:r>
      <w:r w:rsidRPr="003453A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OrthoFuzIon Bone Screw System </w:t>
      </w:r>
      <w:r w:rsidRPr="003453A2">
        <w:rPr>
          <w:rFonts w:ascii="Times New Roman" w:hAnsi="Times New Roman"/>
        </w:rPr>
        <w:t xml:space="preserve">includes </w:t>
      </w:r>
      <w:r>
        <w:rPr>
          <w:rFonts w:ascii="Times New Roman" w:hAnsi="Times New Roman"/>
        </w:rPr>
        <w:t>two screw types</w:t>
      </w:r>
      <w:r w:rsidRPr="003453A2">
        <w:rPr>
          <w:rFonts w:ascii="Times New Roman" w:hAnsi="Times New Roman"/>
        </w:rPr>
        <w:t xml:space="preserve">: </w:t>
      </w:r>
    </w:p>
    <w:p w14:paraId="79BB1865" w14:textId="77777777" w:rsidR="00C71A5F" w:rsidRDefault="00C71A5F" w:rsidP="00C71A5F">
      <w:pPr>
        <w:numPr>
          <w:ilvl w:val="0"/>
          <w:numId w:val="6"/>
        </w:numPr>
        <w:spacing w:line="280" w:lineRule="exact"/>
        <w:jc w:val="both"/>
        <w:rPr>
          <w:rFonts w:ascii="Times New Roman" w:hAnsi="Times New Roman"/>
        </w:rPr>
      </w:pPr>
      <w:r w:rsidRPr="00B256FC">
        <w:rPr>
          <w:rFonts w:ascii="Times New Roman" w:hAnsi="Times New Roman"/>
        </w:rPr>
        <w:t xml:space="preserve">A standard </w:t>
      </w:r>
      <w:r>
        <w:rPr>
          <w:rFonts w:ascii="Times New Roman" w:hAnsi="Times New Roman"/>
        </w:rPr>
        <w:t xml:space="preserve">medical grade </w:t>
      </w:r>
      <w:r w:rsidRPr="00B256FC">
        <w:rPr>
          <w:rFonts w:ascii="Times New Roman" w:hAnsi="Times New Roman"/>
        </w:rPr>
        <w:t>ti</w:t>
      </w:r>
      <w:r>
        <w:rPr>
          <w:rFonts w:ascii="Times New Roman" w:hAnsi="Times New Roman"/>
        </w:rPr>
        <w:t xml:space="preserve">tanium alloy (ASTM F-136) cannulated screw that is </w:t>
      </w:r>
      <w:r w:rsidRPr="00B256FC">
        <w:rPr>
          <w:rFonts w:ascii="Times New Roman" w:hAnsi="Times New Roman"/>
        </w:rPr>
        <w:t>plated</w:t>
      </w:r>
      <w:r>
        <w:rPr>
          <w:rFonts w:ascii="Times New Roman" w:hAnsi="Times New Roman"/>
        </w:rPr>
        <w:t xml:space="preserve"> with both platinum and silver </w:t>
      </w:r>
      <w:r w:rsidRPr="00B256FC">
        <w:rPr>
          <w:rFonts w:ascii="Times New Roman" w:hAnsi="Times New Roman"/>
        </w:rPr>
        <w:t>to inhibit the growth of microorganisms on the screw</w:t>
      </w:r>
      <w:r>
        <w:rPr>
          <w:rFonts w:ascii="Times New Roman" w:hAnsi="Times New Roman"/>
        </w:rPr>
        <w:t>.</w:t>
      </w:r>
    </w:p>
    <w:p w14:paraId="19A3D9EC" w14:textId="77777777" w:rsidR="00C71A5F" w:rsidRDefault="00C71A5F" w:rsidP="00C71A5F">
      <w:pPr>
        <w:numPr>
          <w:ilvl w:val="0"/>
          <w:numId w:val="6"/>
        </w:numPr>
        <w:spacing w:line="280" w:lineRule="exact"/>
        <w:jc w:val="both"/>
        <w:rPr>
          <w:rFonts w:ascii="Times New Roman" w:hAnsi="Times New Roman"/>
        </w:rPr>
      </w:pPr>
      <w:r w:rsidRPr="00B256FC">
        <w:rPr>
          <w:rFonts w:ascii="Times New Roman" w:hAnsi="Times New Roman"/>
        </w:rPr>
        <w:t>A standard</w:t>
      </w:r>
      <w:r>
        <w:rPr>
          <w:rFonts w:ascii="Times New Roman" w:hAnsi="Times New Roman"/>
        </w:rPr>
        <w:t xml:space="preserve"> medical grade </w:t>
      </w:r>
      <w:r w:rsidRPr="00B256FC">
        <w:rPr>
          <w:rFonts w:ascii="Times New Roman" w:hAnsi="Times New Roman"/>
        </w:rPr>
        <w:t>ti</w:t>
      </w:r>
      <w:r>
        <w:rPr>
          <w:rFonts w:ascii="Times New Roman" w:hAnsi="Times New Roman"/>
        </w:rPr>
        <w:t>tanium alloy (ASTM F-136) solid</w:t>
      </w:r>
      <w:r w:rsidRPr="00B256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screw that is </w:t>
      </w:r>
      <w:r w:rsidRPr="00B256FC">
        <w:rPr>
          <w:rFonts w:ascii="Times New Roman" w:hAnsi="Times New Roman"/>
        </w:rPr>
        <w:t>plated</w:t>
      </w:r>
      <w:r>
        <w:rPr>
          <w:rFonts w:ascii="Times New Roman" w:hAnsi="Times New Roman"/>
        </w:rPr>
        <w:t xml:space="preserve"> with both platinum and silver </w:t>
      </w:r>
      <w:r w:rsidRPr="00B256FC">
        <w:rPr>
          <w:rFonts w:ascii="Times New Roman" w:hAnsi="Times New Roman"/>
        </w:rPr>
        <w:t>to inhibit the growth of microorganisms on</w:t>
      </w:r>
      <w:r>
        <w:rPr>
          <w:rFonts w:ascii="Times New Roman" w:hAnsi="Times New Roman"/>
        </w:rPr>
        <w:t xml:space="preserve"> </w:t>
      </w:r>
      <w:r w:rsidRPr="00B256FC">
        <w:rPr>
          <w:rFonts w:ascii="Times New Roman" w:hAnsi="Times New Roman"/>
        </w:rPr>
        <w:t>the screw</w:t>
      </w:r>
      <w:r>
        <w:rPr>
          <w:rFonts w:ascii="Times New Roman" w:hAnsi="Times New Roman"/>
        </w:rPr>
        <w:t>.</w:t>
      </w:r>
    </w:p>
    <w:p w14:paraId="7672E674" w14:textId="164FA46E" w:rsidR="00A13D17" w:rsidRPr="00DB1D17" w:rsidRDefault="00A13D17" w:rsidP="00DB1D17">
      <w:pPr>
        <w:ind w:left="360"/>
        <w:jc w:val="both"/>
        <w:rPr>
          <w:i/>
          <w:color w:val="FF0000"/>
          <w:sz w:val="16"/>
          <w:szCs w:val="16"/>
        </w:rPr>
      </w:pPr>
    </w:p>
    <w:p w14:paraId="30FFDCF0" w14:textId="77777777" w:rsidR="00A13D17" w:rsidRPr="003453A2" w:rsidRDefault="00A13D17" w:rsidP="00A13D17">
      <w:pPr>
        <w:spacing w:line="280" w:lineRule="exact"/>
        <w:jc w:val="both"/>
        <w:rPr>
          <w:rFonts w:ascii="Times New Roman" w:hAnsi="Times New Roman"/>
          <w:b/>
          <w:i/>
          <w:u w:val="single"/>
        </w:rPr>
      </w:pPr>
      <w:r w:rsidRPr="003453A2">
        <w:rPr>
          <w:rFonts w:ascii="Times New Roman" w:hAnsi="Times New Roman"/>
          <w:b/>
          <w:i/>
          <w:u w:val="single"/>
        </w:rPr>
        <w:t>Indication For Use:</w:t>
      </w:r>
    </w:p>
    <w:p w14:paraId="71B9634F" w14:textId="00817F20" w:rsidR="00B9130C" w:rsidRPr="00BC0537" w:rsidRDefault="00B9130C" w:rsidP="00B9130C">
      <w:pPr>
        <w:spacing w:line="280" w:lineRule="exact"/>
        <w:jc w:val="both"/>
        <w:rPr>
          <w:rFonts w:ascii="Times New Roman" w:hAnsi="Times New Roman"/>
        </w:rPr>
      </w:pPr>
      <w:r w:rsidRPr="00BC0537">
        <w:rPr>
          <w:rFonts w:ascii="Times New Roman" w:hAnsi="Times New Roman"/>
        </w:rPr>
        <w:t xml:space="preserve">OrthoFuzIon Bone Screws are indicated for open reduction and internal fixation (ORIF) fracture surgeries and are plated to inhibit microbial colonization and reduce implant related infection in revision surgery </w:t>
      </w:r>
      <w:r w:rsidR="00DC745A">
        <w:rPr>
          <w:rFonts w:ascii="Times New Roman" w:hAnsi="Times New Roman"/>
        </w:rPr>
        <w:t xml:space="preserve">due to </w:t>
      </w:r>
      <w:r w:rsidRPr="00BC0537">
        <w:rPr>
          <w:rFonts w:ascii="Times New Roman" w:hAnsi="Times New Roman"/>
        </w:rPr>
        <w:t>implant infection or primary surgery in patients who are at-risk of implant infections.</w:t>
      </w:r>
    </w:p>
    <w:p w14:paraId="631846E7" w14:textId="77777777" w:rsidR="00B9130C" w:rsidRPr="0010796D" w:rsidRDefault="00B9130C" w:rsidP="0010796D">
      <w:pPr>
        <w:spacing w:line="280" w:lineRule="exact"/>
        <w:jc w:val="both"/>
        <w:rPr>
          <w:rFonts w:ascii="Times New Roman" w:hAnsi="Times New Roman"/>
          <w:iCs/>
        </w:rPr>
      </w:pPr>
    </w:p>
    <w:p w14:paraId="43D326F0" w14:textId="77777777" w:rsidR="008A73C3" w:rsidRPr="00DB1D17" w:rsidRDefault="008A73C3" w:rsidP="00DB1D17">
      <w:pPr>
        <w:jc w:val="both"/>
        <w:rPr>
          <w:rFonts w:ascii="Times New Roman" w:hAnsi="Times New Roman"/>
          <w:iCs/>
          <w:sz w:val="16"/>
          <w:szCs w:val="16"/>
        </w:rPr>
      </w:pPr>
    </w:p>
    <w:p w14:paraId="3BA41849" w14:textId="77777777" w:rsidR="00A13D17" w:rsidRPr="003453A2" w:rsidRDefault="00A13D17" w:rsidP="00A13D17">
      <w:pPr>
        <w:spacing w:line="280" w:lineRule="exact"/>
        <w:jc w:val="both"/>
        <w:rPr>
          <w:rFonts w:ascii="Times New Roman" w:hAnsi="Times New Roman"/>
          <w:b/>
          <w:i/>
          <w:color w:val="FF0000"/>
          <w:u w:val="single"/>
        </w:rPr>
      </w:pPr>
      <w:r w:rsidRPr="003453A2">
        <w:rPr>
          <w:rFonts w:ascii="Times New Roman" w:hAnsi="Times New Roman"/>
          <w:b/>
          <w:i/>
          <w:u w:val="single"/>
        </w:rPr>
        <w:t xml:space="preserve">Contraindications: </w:t>
      </w:r>
    </w:p>
    <w:p w14:paraId="214488CE" w14:textId="0863C7DC" w:rsidR="00A13D17" w:rsidRDefault="00A13D17" w:rsidP="00A13D17">
      <w:pPr>
        <w:pStyle w:val="ColorfulList-Accent11"/>
        <w:numPr>
          <w:ilvl w:val="0"/>
          <w:numId w:val="2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Compromised vascularity that would inhibit adequate blood supply to the fracture or the operative site</w:t>
      </w:r>
      <w:r w:rsidR="00452F78">
        <w:rPr>
          <w:rFonts w:ascii="Times New Roman" w:hAnsi="Times New Roman"/>
        </w:rPr>
        <w:t>.</w:t>
      </w:r>
    </w:p>
    <w:p w14:paraId="232865B5" w14:textId="547F43C0" w:rsidR="00A13D17" w:rsidRPr="00452F78" w:rsidRDefault="00A13D17" w:rsidP="00452F78">
      <w:pPr>
        <w:pStyle w:val="ColorfulList-Accent11"/>
        <w:numPr>
          <w:ilvl w:val="0"/>
          <w:numId w:val="2"/>
        </w:numPr>
        <w:spacing w:line="280" w:lineRule="exact"/>
        <w:jc w:val="both"/>
        <w:rPr>
          <w:rFonts w:ascii="Times New Roman" w:hAnsi="Times New Roman"/>
        </w:rPr>
      </w:pPr>
      <w:r w:rsidRPr="00452F78">
        <w:rPr>
          <w:rFonts w:ascii="Times New Roman" w:hAnsi="Times New Roman"/>
        </w:rPr>
        <w:t>Material sensitivity</w:t>
      </w:r>
      <w:r w:rsidR="00A24C18" w:rsidRPr="00452F78">
        <w:rPr>
          <w:rFonts w:ascii="Times New Roman" w:hAnsi="Times New Roman"/>
        </w:rPr>
        <w:t>, including silver,</w:t>
      </w:r>
      <w:r w:rsidRPr="00452F78">
        <w:rPr>
          <w:rFonts w:ascii="Times New Roman" w:hAnsi="Times New Roman"/>
        </w:rPr>
        <w:t xml:space="preserve"> documented or suspected.</w:t>
      </w:r>
    </w:p>
    <w:p w14:paraId="5FD298D5" w14:textId="77777777" w:rsidR="00A13D17" w:rsidRPr="003453A2" w:rsidRDefault="00A13D17" w:rsidP="00A13D17">
      <w:pPr>
        <w:pStyle w:val="ColorfulList-Accent11"/>
        <w:numPr>
          <w:ilvl w:val="0"/>
          <w:numId w:val="2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Patients having inadequate tissue coverage over the operative site.</w:t>
      </w:r>
    </w:p>
    <w:p w14:paraId="2D3E198B" w14:textId="77777777" w:rsidR="00A13D17" w:rsidRPr="003453A2" w:rsidRDefault="00A13D17" w:rsidP="00A13D17">
      <w:pPr>
        <w:pStyle w:val="ColorfulList-Accent11"/>
        <w:numPr>
          <w:ilvl w:val="0"/>
          <w:numId w:val="2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Bone stock compromised by diseases, infection or prior implantation that cannot provide adequate support and/or fixation.</w:t>
      </w:r>
    </w:p>
    <w:p w14:paraId="4266AE21" w14:textId="77777777" w:rsidR="00A13D17" w:rsidRPr="003453A2" w:rsidRDefault="00A13D17" w:rsidP="00A13D17">
      <w:pPr>
        <w:pStyle w:val="ColorfulList-Accent11"/>
        <w:numPr>
          <w:ilvl w:val="0"/>
          <w:numId w:val="2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Implant utilization that would interfere with anatomical structures or physiological performance.</w:t>
      </w:r>
    </w:p>
    <w:p w14:paraId="78331083" w14:textId="77777777" w:rsidR="00A13D17" w:rsidRPr="003453A2" w:rsidRDefault="00A13D17" w:rsidP="00A13D17">
      <w:pPr>
        <w:pStyle w:val="ColorfulList-Accent11"/>
        <w:numPr>
          <w:ilvl w:val="0"/>
          <w:numId w:val="2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An overweight or obese patient can produce loads on the implant which can lead to failure of the fixation or to failure of the device itself.</w:t>
      </w:r>
    </w:p>
    <w:p w14:paraId="5A0D5A57" w14:textId="77777777" w:rsidR="00A13D17" w:rsidRPr="003453A2" w:rsidRDefault="00A13D17" w:rsidP="00A13D17">
      <w:pPr>
        <w:pStyle w:val="ColorfulList-Accent11"/>
        <w:numPr>
          <w:ilvl w:val="0"/>
          <w:numId w:val="2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Any mental or neuromuscular disorder which could create an unacceptable risk of fixation failure or complications in postoperative care.</w:t>
      </w:r>
    </w:p>
    <w:p w14:paraId="4D4F930C" w14:textId="77777777" w:rsidR="00A13D17" w:rsidRDefault="00A13D17" w:rsidP="00A13D17">
      <w:pPr>
        <w:pStyle w:val="ColorfulList-Accent11"/>
        <w:numPr>
          <w:ilvl w:val="0"/>
          <w:numId w:val="2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lastRenderedPageBreak/>
        <w:t>Other medical or surgical conditions, which would preclude the potential benefit of the surgery.</w:t>
      </w:r>
    </w:p>
    <w:p w14:paraId="00C90C3A" w14:textId="77777777" w:rsidR="00A13D17" w:rsidRPr="003453A2" w:rsidRDefault="00A13D17" w:rsidP="00A13D17">
      <w:pPr>
        <w:spacing w:line="280" w:lineRule="exact"/>
        <w:jc w:val="both"/>
        <w:rPr>
          <w:rFonts w:ascii="Times New Roman" w:hAnsi="Times New Roman"/>
        </w:rPr>
      </w:pPr>
    </w:p>
    <w:p w14:paraId="3BE6D0E2" w14:textId="77777777" w:rsidR="00A13D17" w:rsidRPr="003453A2" w:rsidRDefault="00A13D17" w:rsidP="00A13D17">
      <w:pPr>
        <w:spacing w:line="280" w:lineRule="exact"/>
        <w:jc w:val="both"/>
        <w:rPr>
          <w:rFonts w:ascii="Times New Roman" w:hAnsi="Times New Roman"/>
          <w:b/>
          <w:i/>
          <w:u w:val="single"/>
        </w:rPr>
      </w:pPr>
      <w:r w:rsidRPr="003453A2">
        <w:rPr>
          <w:rFonts w:ascii="Times New Roman" w:hAnsi="Times New Roman"/>
          <w:b/>
          <w:i/>
          <w:u w:val="single"/>
        </w:rPr>
        <w:t>Warnings and Precautions:</w:t>
      </w:r>
    </w:p>
    <w:p w14:paraId="20E83057" w14:textId="4175BF04" w:rsidR="00973D7B" w:rsidRPr="00973D7B" w:rsidRDefault="00973D7B" w:rsidP="00973D7B">
      <w:pPr>
        <w:pStyle w:val="ColorfulList-Accent11"/>
        <w:numPr>
          <w:ilvl w:val="0"/>
          <w:numId w:val="3"/>
        </w:numPr>
        <w:rPr>
          <w:rFonts w:ascii="Times New Roman" w:hAnsi="Times New Roman"/>
        </w:rPr>
      </w:pPr>
      <w:r w:rsidRPr="00973D7B">
        <w:rPr>
          <w:rFonts w:ascii="Times New Roman" w:hAnsi="Times New Roman"/>
        </w:rPr>
        <w:t xml:space="preserve">The </w:t>
      </w:r>
      <w:r w:rsidR="00F9751B">
        <w:rPr>
          <w:rFonts w:ascii="Times New Roman" w:hAnsi="Times New Roman"/>
        </w:rPr>
        <w:t>OrthoFuzIon</w:t>
      </w:r>
      <w:r w:rsidRPr="00973D7B">
        <w:rPr>
          <w:rFonts w:ascii="Times New Roman" w:hAnsi="Times New Roman"/>
        </w:rPr>
        <w:t xml:space="preserve"> </w:t>
      </w:r>
      <w:r w:rsidR="00F9751B">
        <w:rPr>
          <w:rFonts w:ascii="Times New Roman" w:hAnsi="Times New Roman"/>
        </w:rPr>
        <w:t>s</w:t>
      </w:r>
      <w:r w:rsidRPr="00973D7B">
        <w:rPr>
          <w:rFonts w:ascii="Times New Roman" w:hAnsi="Times New Roman"/>
        </w:rPr>
        <w:t>crew</w:t>
      </w:r>
      <w:r w:rsidR="00B256FC">
        <w:rPr>
          <w:rFonts w:ascii="Times New Roman" w:hAnsi="Times New Roman"/>
        </w:rPr>
        <w:t>s</w:t>
      </w:r>
      <w:r w:rsidRPr="00973D7B">
        <w:rPr>
          <w:rFonts w:ascii="Times New Roman" w:hAnsi="Times New Roman"/>
        </w:rPr>
        <w:t xml:space="preserve"> should not be used in skeletally immature individuals</w:t>
      </w:r>
      <w:r w:rsidR="00B63C44">
        <w:rPr>
          <w:rFonts w:ascii="Times New Roman" w:hAnsi="Times New Roman"/>
        </w:rPr>
        <w:t xml:space="preserve"> or pregnant patients</w:t>
      </w:r>
      <w:r w:rsidRPr="00973D7B">
        <w:rPr>
          <w:rFonts w:ascii="Times New Roman" w:hAnsi="Times New Roman"/>
        </w:rPr>
        <w:t>.</w:t>
      </w:r>
    </w:p>
    <w:p w14:paraId="06934E6E" w14:textId="77777777" w:rsidR="00A13D17" w:rsidRDefault="00A13D17" w:rsidP="00A13D17">
      <w:pPr>
        <w:pStyle w:val="ColorfulList-Accent11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Implant selection and sizing</w:t>
      </w:r>
      <w:r w:rsidR="00973D7B">
        <w:rPr>
          <w:rFonts w:ascii="Times New Roman" w:hAnsi="Times New Roman"/>
        </w:rPr>
        <w:t>:</w:t>
      </w:r>
      <w:r w:rsidRPr="003453A2">
        <w:rPr>
          <w:rFonts w:ascii="Times New Roman" w:hAnsi="Times New Roman"/>
        </w:rPr>
        <w:t xml:space="preserve"> The correct selection of the fracture fixation device is extremely important. </w:t>
      </w:r>
    </w:p>
    <w:p w14:paraId="5C3476C0" w14:textId="3320AAB9" w:rsidR="00F3016D" w:rsidRPr="003453A2" w:rsidRDefault="00F9751B" w:rsidP="00D3154B">
      <w:pPr>
        <w:pStyle w:val="ColorfulList-Accent11"/>
        <w:numPr>
          <w:ilvl w:val="0"/>
          <w:numId w:val="3"/>
        </w:numPr>
        <w:spacing w:line="280" w:lineRule="exact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OrthoFuzIon</w:t>
      </w:r>
      <w:r w:rsidR="006A15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6A1524">
        <w:rPr>
          <w:rFonts w:ascii="Times New Roman" w:hAnsi="Times New Roman"/>
        </w:rPr>
        <w:t>crew</w:t>
      </w:r>
      <w:r w:rsidR="00B256FC">
        <w:rPr>
          <w:rFonts w:ascii="Times New Roman" w:hAnsi="Times New Roman"/>
        </w:rPr>
        <w:t>s</w:t>
      </w:r>
      <w:r w:rsidR="006A1524">
        <w:rPr>
          <w:rFonts w:ascii="Times New Roman" w:hAnsi="Times New Roman"/>
        </w:rPr>
        <w:t xml:space="preserve"> </w:t>
      </w:r>
      <w:r w:rsidR="00B256FC">
        <w:rPr>
          <w:rFonts w:ascii="Times New Roman" w:hAnsi="Times New Roman"/>
        </w:rPr>
        <w:t>are</w:t>
      </w:r>
      <w:r w:rsidR="006A1524">
        <w:rPr>
          <w:rFonts w:ascii="Times New Roman" w:hAnsi="Times New Roman"/>
        </w:rPr>
        <w:t xml:space="preserve"> </w:t>
      </w:r>
      <w:r w:rsidR="00A56135" w:rsidRPr="00A56135">
        <w:rPr>
          <w:rFonts w:ascii="Times New Roman" w:hAnsi="Times New Roman"/>
          <w:u w:val="single"/>
        </w:rPr>
        <w:t>Not For Reuse</w:t>
      </w:r>
      <w:r w:rsidR="00407F8A">
        <w:rPr>
          <w:rFonts w:ascii="Times New Roman" w:hAnsi="Times New Roman"/>
        </w:rPr>
        <w:t xml:space="preserve">. </w:t>
      </w:r>
      <w:r w:rsidR="009F17FF">
        <w:rPr>
          <w:rFonts w:ascii="Times New Roman" w:hAnsi="Times New Roman"/>
        </w:rPr>
        <w:t>To avoid</w:t>
      </w:r>
      <w:r w:rsidR="00407F8A">
        <w:rPr>
          <w:rFonts w:ascii="Times New Roman" w:hAnsi="Times New Roman"/>
        </w:rPr>
        <w:t xml:space="preserve"> risks </w:t>
      </w:r>
      <w:r w:rsidR="00A56135" w:rsidRPr="00A56135">
        <w:rPr>
          <w:rFonts w:ascii="Times New Roman" w:hAnsi="Times New Roman"/>
        </w:rPr>
        <w:t>from cross-</w:t>
      </w:r>
      <w:r w:rsidR="009F17FF" w:rsidRPr="00A56135">
        <w:rPr>
          <w:rFonts w:ascii="Times New Roman" w:hAnsi="Times New Roman"/>
        </w:rPr>
        <w:t>contamination, infection</w:t>
      </w:r>
      <w:r w:rsidR="00A56135" w:rsidRPr="00A56135">
        <w:rPr>
          <w:rFonts w:ascii="Times New Roman" w:hAnsi="Times New Roman"/>
        </w:rPr>
        <w:t xml:space="preserve">, loss of product integrity, or patient </w:t>
      </w:r>
      <w:r w:rsidR="009F17FF" w:rsidRPr="00A56135">
        <w:rPr>
          <w:rFonts w:ascii="Times New Roman" w:hAnsi="Times New Roman"/>
        </w:rPr>
        <w:t>injury, </w:t>
      </w:r>
      <w:r w:rsidR="009F17FF" w:rsidRPr="00694C30">
        <w:rPr>
          <w:rFonts w:ascii="Times New Roman" w:hAnsi="Times New Roman"/>
          <w:u w:val="single"/>
        </w:rPr>
        <w:t>do</w:t>
      </w:r>
      <w:r w:rsidR="00A56135" w:rsidRPr="00D45AAC">
        <w:rPr>
          <w:rFonts w:ascii="Times New Roman" w:hAnsi="Times New Roman"/>
          <w:u w:val="single"/>
        </w:rPr>
        <w:t xml:space="preserve"> </w:t>
      </w:r>
      <w:r w:rsidR="00A56135" w:rsidRPr="00A56135">
        <w:rPr>
          <w:rFonts w:ascii="Times New Roman" w:hAnsi="Times New Roman"/>
          <w:u w:val="single"/>
        </w:rPr>
        <w:t>not re-use or re-sterilize</w:t>
      </w:r>
      <w:r w:rsidR="00840A89">
        <w:rPr>
          <w:rFonts w:ascii="Times New Roman" w:hAnsi="Times New Roman"/>
        </w:rPr>
        <w:t>.</w:t>
      </w:r>
    </w:p>
    <w:p w14:paraId="63BC84B5" w14:textId="77777777" w:rsidR="00A13D17" w:rsidRPr="007D3DBB" w:rsidRDefault="00A13D17" w:rsidP="00A13D17">
      <w:pPr>
        <w:pStyle w:val="ColorfulList-Accent11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Failure to use the appropriate implant may accelerate clinical failure</w:t>
      </w:r>
      <w:r w:rsidRPr="003453A2">
        <w:rPr>
          <w:rFonts w:ascii="Times New Roman" w:hAnsi="Times New Roman"/>
          <w:i/>
          <w:color w:val="FF0000"/>
        </w:rPr>
        <w:t>.</w:t>
      </w:r>
    </w:p>
    <w:p w14:paraId="523BEF3E" w14:textId="77777777" w:rsidR="007D3DBB" w:rsidRPr="00C334F9" w:rsidRDefault="00973D7B" w:rsidP="00A13D17">
      <w:pPr>
        <w:pStyle w:val="ColorfulList-Accent11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not use in the p</w:t>
      </w:r>
      <w:r w:rsidR="007D3DBB" w:rsidRPr="00C334F9">
        <w:rPr>
          <w:rFonts w:ascii="Times New Roman" w:hAnsi="Times New Roman"/>
        </w:rPr>
        <w:t xml:space="preserve">resence of an active </w:t>
      </w:r>
      <w:r w:rsidR="00E53F45">
        <w:rPr>
          <w:rFonts w:ascii="Times New Roman" w:hAnsi="Times New Roman"/>
        </w:rPr>
        <w:t xml:space="preserve">systemic </w:t>
      </w:r>
      <w:r w:rsidR="007D3DBB" w:rsidRPr="00C334F9">
        <w:rPr>
          <w:rFonts w:ascii="Times New Roman" w:hAnsi="Times New Roman"/>
        </w:rPr>
        <w:t>infection.</w:t>
      </w:r>
    </w:p>
    <w:p w14:paraId="7080B8D6" w14:textId="3E05C7B0" w:rsidR="00F5629F" w:rsidRDefault="00F5629F" w:rsidP="00A13D17">
      <w:pPr>
        <w:pStyle w:val="ColorfulList-Accent11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of a </w:t>
      </w:r>
      <w:r w:rsidR="00DC745A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orque </w:t>
      </w:r>
      <w:r w:rsidR="00DC745A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imiter </w:t>
      </w:r>
      <w:r w:rsidR="00C71A5F">
        <w:rPr>
          <w:rFonts w:ascii="Times New Roman" w:hAnsi="Times New Roman"/>
        </w:rPr>
        <w:t>is recommended</w:t>
      </w:r>
      <w:r>
        <w:rPr>
          <w:rFonts w:ascii="Times New Roman" w:hAnsi="Times New Roman"/>
        </w:rPr>
        <w:t>.</w:t>
      </w:r>
    </w:p>
    <w:p w14:paraId="5BC06AD0" w14:textId="7ECA86DF" w:rsidR="00F25A72" w:rsidRPr="003453A2" w:rsidRDefault="00F25A72" w:rsidP="00A13D17">
      <w:pPr>
        <w:pStyle w:val="ColorfulList-Accent11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 </w:t>
      </w:r>
      <w:r w:rsidRPr="00F25A72">
        <w:rPr>
          <w:rFonts w:ascii="Times New Roman" w:hAnsi="Times New Roman"/>
        </w:rPr>
        <w:t>skin turns blue or bluish-grey</w:t>
      </w:r>
      <w:r>
        <w:rPr>
          <w:rFonts w:ascii="Times New Roman" w:hAnsi="Times New Roman"/>
        </w:rPr>
        <w:t xml:space="preserve">, either in large patches or localized, the patient should be evaluated for </w:t>
      </w:r>
      <w:r w:rsidR="00DC745A">
        <w:rPr>
          <w:rFonts w:ascii="Times New Roman" w:hAnsi="Times New Roman"/>
        </w:rPr>
        <w:t>a</w:t>
      </w:r>
      <w:r w:rsidR="009F17FF">
        <w:rPr>
          <w:rFonts w:ascii="Times New Roman" w:hAnsi="Times New Roman"/>
        </w:rPr>
        <w:t>rgyria</w:t>
      </w:r>
      <w:r>
        <w:rPr>
          <w:rFonts w:ascii="Times New Roman" w:hAnsi="Times New Roman"/>
        </w:rPr>
        <w:t>.</w:t>
      </w:r>
    </w:p>
    <w:p w14:paraId="30ABF1E9" w14:textId="77777777" w:rsidR="00F3016D" w:rsidRDefault="00A13D17" w:rsidP="00A13D17">
      <w:pPr>
        <w:pStyle w:val="ColorfulList-Accent11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Physicians should warn patients about contraindications when appropriate.</w:t>
      </w:r>
    </w:p>
    <w:p w14:paraId="4F6C4ABD" w14:textId="77777777" w:rsidR="00334AA2" w:rsidRDefault="00334AA2" w:rsidP="00A13D17">
      <w:pPr>
        <w:pStyle w:val="ColorfulList-Accent11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Caution shou</w:t>
      </w:r>
      <w:r w:rsidR="00AB128F">
        <w:rPr>
          <w:rFonts w:ascii="Times New Roman" w:hAnsi="Times New Roman"/>
        </w:rPr>
        <w:t>l</w:t>
      </w:r>
      <w:r>
        <w:rPr>
          <w:rFonts w:ascii="Times New Roman" w:hAnsi="Times New Roman"/>
        </w:rPr>
        <w:t>d be taken if used with another device that contains silver to prevent a possible additive effect of silver.</w:t>
      </w:r>
    </w:p>
    <w:p w14:paraId="2C9FA58A" w14:textId="51669C9F" w:rsidR="0082365A" w:rsidRPr="00D81FD4" w:rsidRDefault="0082365A" w:rsidP="0082365A">
      <w:pPr>
        <w:pStyle w:val="ColorfulList-Accent11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  <w:color w:val="000000" w:themeColor="text1"/>
        </w:rPr>
      </w:pPr>
      <w:r w:rsidRPr="00D81FD4">
        <w:rPr>
          <w:rFonts w:ascii="Times New Roman" w:hAnsi="Times New Roman"/>
          <w:color w:val="000000" w:themeColor="text1"/>
        </w:rPr>
        <w:t xml:space="preserve">Presence of silver does not negate the need for </w:t>
      </w:r>
      <w:r w:rsidR="006E63FC">
        <w:rPr>
          <w:rFonts w:ascii="Times New Roman" w:hAnsi="Times New Roman"/>
          <w:color w:val="000000" w:themeColor="text1"/>
        </w:rPr>
        <w:t xml:space="preserve">additional treatments including </w:t>
      </w:r>
      <w:r w:rsidRPr="00D81FD4">
        <w:rPr>
          <w:rFonts w:ascii="Times New Roman" w:hAnsi="Times New Roman"/>
          <w:color w:val="000000" w:themeColor="text1"/>
        </w:rPr>
        <w:t>systemic antibiotics in cases of infection.</w:t>
      </w:r>
    </w:p>
    <w:p w14:paraId="5087BB0E" w14:textId="77777777" w:rsidR="00F935F4" w:rsidRPr="00F935F4" w:rsidRDefault="006E63FC" w:rsidP="00F935F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Any i</w:t>
      </w:r>
      <w:r w:rsidR="004305BF" w:rsidRPr="00691537">
        <w:rPr>
          <w:rFonts w:ascii="Times New Roman" w:hAnsi="Times New Roman"/>
        </w:rPr>
        <w:t>mplants subjected to excessive post-operative physical activity are more prone to premature failure.</w:t>
      </w:r>
      <w:r w:rsidR="00342CAF" w:rsidRPr="00342CAF">
        <w:rPr>
          <w:rFonts w:ascii="Verdana" w:eastAsiaTheme="minorHAnsi" w:hAnsi="Verdana" w:cstheme="minorBidi"/>
          <w:sz w:val="20"/>
          <w:szCs w:val="20"/>
          <w:lang w:val="en-IE"/>
        </w:rPr>
        <w:t xml:space="preserve"> </w:t>
      </w:r>
      <w:r w:rsidR="00342CAF">
        <w:rPr>
          <w:rFonts w:ascii="Times New Roman" w:hAnsi="Times New Roman"/>
          <w:lang w:val="en-IE"/>
        </w:rPr>
        <w:t>P</w:t>
      </w:r>
      <w:r w:rsidR="00342CAF" w:rsidRPr="00342CAF">
        <w:rPr>
          <w:rFonts w:ascii="Times New Roman" w:hAnsi="Times New Roman"/>
          <w:lang w:val="en-IE"/>
        </w:rPr>
        <w:t xml:space="preserve">ostoperative instructions to patients and appropriate nursing care are critical. Early weight bearing </w:t>
      </w:r>
      <w:r>
        <w:rPr>
          <w:rFonts w:ascii="Times New Roman" w:hAnsi="Times New Roman"/>
          <w:lang w:val="en-IE"/>
        </w:rPr>
        <w:t xml:space="preserve">may </w:t>
      </w:r>
      <w:r w:rsidR="00342CAF" w:rsidRPr="00342CAF">
        <w:rPr>
          <w:rFonts w:ascii="Times New Roman" w:hAnsi="Times New Roman"/>
          <w:lang w:val="en-IE"/>
        </w:rPr>
        <w:t xml:space="preserve">substantially increase implant loading and </w:t>
      </w:r>
      <w:r>
        <w:rPr>
          <w:rFonts w:ascii="Times New Roman" w:hAnsi="Times New Roman"/>
          <w:lang w:val="en-IE"/>
        </w:rPr>
        <w:t xml:space="preserve">may </w:t>
      </w:r>
      <w:r w:rsidR="00342CAF" w:rsidRPr="00342CAF">
        <w:rPr>
          <w:rFonts w:ascii="Times New Roman" w:hAnsi="Times New Roman"/>
          <w:lang w:val="en-IE"/>
        </w:rPr>
        <w:t>increase</w:t>
      </w:r>
      <w:r>
        <w:rPr>
          <w:rFonts w:ascii="Times New Roman" w:hAnsi="Times New Roman"/>
          <w:lang w:val="en-IE"/>
        </w:rPr>
        <w:t xml:space="preserve"> </w:t>
      </w:r>
      <w:r w:rsidR="00342CAF" w:rsidRPr="00342CAF">
        <w:rPr>
          <w:rFonts w:ascii="Times New Roman" w:hAnsi="Times New Roman"/>
          <w:lang w:val="en-IE"/>
        </w:rPr>
        <w:t>the risk of loosening, bending or breaking the device.</w:t>
      </w:r>
    </w:p>
    <w:p w14:paraId="7063CF66" w14:textId="10FFB676" w:rsidR="000E675A" w:rsidRPr="00DB1D17" w:rsidRDefault="004D105E" w:rsidP="00DB1D1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935F4">
        <w:rPr>
          <w:rFonts w:ascii="Times New Roman" w:hAnsi="Times New Roman"/>
        </w:rPr>
        <w:t>The physician should be familiar with the devices, instruments and surgical technique prior to surgery.</w:t>
      </w:r>
    </w:p>
    <w:p w14:paraId="02840E6B" w14:textId="77777777" w:rsidR="000E675A" w:rsidRPr="003453A2" w:rsidRDefault="000E675A" w:rsidP="00A13D17">
      <w:pPr>
        <w:spacing w:line="280" w:lineRule="exact"/>
        <w:jc w:val="both"/>
        <w:rPr>
          <w:rFonts w:ascii="Times New Roman" w:hAnsi="Times New Roman"/>
        </w:rPr>
      </w:pPr>
    </w:p>
    <w:p w14:paraId="1CCBD913" w14:textId="77777777" w:rsidR="00A13D17" w:rsidRPr="003453A2" w:rsidRDefault="00A13D17" w:rsidP="00A13D17">
      <w:pPr>
        <w:spacing w:line="280" w:lineRule="exact"/>
        <w:jc w:val="both"/>
        <w:rPr>
          <w:rFonts w:ascii="Times New Roman" w:hAnsi="Times New Roman"/>
          <w:i/>
          <w:color w:val="FF0000"/>
        </w:rPr>
      </w:pPr>
      <w:r w:rsidRPr="003453A2">
        <w:rPr>
          <w:rFonts w:ascii="Times New Roman" w:hAnsi="Times New Roman"/>
          <w:b/>
          <w:i/>
          <w:u w:val="single"/>
        </w:rPr>
        <w:t xml:space="preserve">Potential Adverse Effects: </w:t>
      </w:r>
    </w:p>
    <w:p w14:paraId="535380C6" w14:textId="2840D0E8" w:rsidR="00A13D17" w:rsidRPr="003453A2" w:rsidRDefault="007D3DBB" w:rsidP="00A13D17">
      <w:pPr>
        <w:spacing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A13D17" w:rsidRPr="003453A2">
        <w:rPr>
          <w:rFonts w:ascii="Times New Roman" w:hAnsi="Times New Roman"/>
        </w:rPr>
        <w:t xml:space="preserve">he </w:t>
      </w:r>
      <w:r w:rsidR="00DC745A">
        <w:rPr>
          <w:rFonts w:ascii="Times New Roman" w:hAnsi="Times New Roman"/>
        </w:rPr>
        <w:t xml:space="preserve">following </w:t>
      </w:r>
      <w:r w:rsidR="00A13D17" w:rsidRPr="003453A2">
        <w:rPr>
          <w:rFonts w:ascii="Times New Roman" w:hAnsi="Times New Roman"/>
        </w:rPr>
        <w:t xml:space="preserve">potential adverse effects </w:t>
      </w:r>
      <w:r>
        <w:rPr>
          <w:rFonts w:ascii="Times New Roman" w:hAnsi="Times New Roman"/>
        </w:rPr>
        <w:t xml:space="preserve">may be </w:t>
      </w:r>
      <w:r w:rsidR="00A13D17" w:rsidRPr="003453A2">
        <w:rPr>
          <w:rFonts w:ascii="Times New Roman" w:hAnsi="Times New Roman"/>
        </w:rPr>
        <w:t xml:space="preserve">clinically related </w:t>
      </w:r>
      <w:r w:rsidR="00DC745A">
        <w:rPr>
          <w:rFonts w:ascii="Times New Roman" w:hAnsi="Times New Roman"/>
        </w:rPr>
        <w:t xml:space="preserve">and not specific to </w:t>
      </w:r>
      <w:r w:rsidR="00DC745A" w:rsidRPr="003453A2">
        <w:rPr>
          <w:rFonts w:ascii="Times New Roman" w:hAnsi="Times New Roman"/>
        </w:rPr>
        <w:t xml:space="preserve"> </w:t>
      </w:r>
      <w:r w:rsidR="00A13D17" w:rsidRPr="003453A2">
        <w:rPr>
          <w:rFonts w:ascii="Times New Roman" w:hAnsi="Times New Roman"/>
        </w:rPr>
        <w:t xml:space="preserve"> </w:t>
      </w:r>
      <w:r w:rsidR="00DC745A">
        <w:rPr>
          <w:rFonts w:ascii="Times New Roman" w:hAnsi="Times New Roman"/>
        </w:rPr>
        <w:t xml:space="preserve">an </w:t>
      </w:r>
      <w:r w:rsidR="00452F78">
        <w:rPr>
          <w:rFonts w:ascii="Times New Roman" w:hAnsi="Times New Roman"/>
        </w:rPr>
        <w:t xml:space="preserve">OrthoFuzIon </w:t>
      </w:r>
      <w:r w:rsidR="00A13D17" w:rsidRPr="003453A2">
        <w:rPr>
          <w:rFonts w:ascii="Times New Roman" w:hAnsi="Times New Roman"/>
        </w:rPr>
        <w:t xml:space="preserve">device.  The following are the most frequent adverse effects related to the use </w:t>
      </w:r>
      <w:r w:rsidR="00C31EFD">
        <w:rPr>
          <w:rFonts w:ascii="Times New Roman" w:hAnsi="Times New Roman"/>
        </w:rPr>
        <w:t xml:space="preserve">of </w:t>
      </w:r>
      <w:r w:rsidR="006E63FC">
        <w:rPr>
          <w:rFonts w:ascii="Times New Roman" w:hAnsi="Times New Roman"/>
        </w:rPr>
        <w:t xml:space="preserve">all </w:t>
      </w:r>
      <w:r w:rsidR="00A13D17" w:rsidRPr="003453A2">
        <w:rPr>
          <w:rFonts w:ascii="Times New Roman" w:hAnsi="Times New Roman"/>
        </w:rPr>
        <w:t>internal fixation devices</w:t>
      </w:r>
      <w:r w:rsidR="006E63FC" w:rsidRPr="006E63FC">
        <w:rPr>
          <w:rFonts w:ascii="Times New Roman" w:hAnsi="Times New Roman"/>
        </w:rPr>
        <w:t xml:space="preserve"> </w:t>
      </w:r>
      <w:r w:rsidR="006E63FC">
        <w:rPr>
          <w:rFonts w:ascii="Times New Roman" w:hAnsi="Times New Roman"/>
        </w:rPr>
        <w:t>including OrthoFuzIon screws</w:t>
      </w:r>
      <w:r w:rsidR="00A13D17" w:rsidRPr="003453A2">
        <w:rPr>
          <w:rFonts w:ascii="Times New Roman" w:hAnsi="Times New Roman"/>
        </w:rPr>
        <w:t>:</w:t>
      </w:r>
    </w:p>
    <w:p w14:paraId="458001B9" w14:textId="77777777" w:rsidR="00A13D17" w:rsidRPr="003453A2" w:rsidRDefault="00A13D17" w:rsidP="00A13D17">
      <w:pPr>
        <w:pStyle w:val="ColorfulList-Accent11"/>
        <w:numPr>
          <w:ilvl w:val="0"/>
          <w:numId w:val="5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Delayed or non-union of the fracture site.</w:t>
      </w:r>
    </w:p>
    <w:p w14:paraId="5ACEEF38" w14:textId="77777777" w:rsidR="00A13D17" w:rsidRPr="003453A2" w:rsidRDefault="00A13D17" w:rsidP="00A13D17">
      <w:pPr>
        <w:pStyle w:val="ColorfulList-Accent11"/>
        <w:numPr>
          <w:ilvl w:val="0"/>
          <w:numId w:val="5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Devices can break when subjected to increased loading associated with delayed unions and/or non-unions.</w:t>
      </w:r>
    </w:p>
    <w:p w14:paraId="4FBC2F74" w14:textId="77777777" w:rsidR="00A13D17" w:rsidRPr="003453A2" w:rsidRDefault="00A13D17" w:rsidP="00A13D17">
      <w:pPr>
        <w:pStyle w:val="ColorfulList-Accent11"/>
        <w:numPr>
          <w:ilvl w:val="0"/>
          <w:numId w:val="5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Avascular necrosis.</w:t>
      </w:r>
    </w:p>
    <w:p w14:paraId="01755581" w14:textId="77777777" w:rsidR="00A13D17" w:rsidRPr="003453A2" w:rsidRDefault="00A13D17" w:rsidP="00A13D17">
      <w:pPr>
        <w:pStyle w:val="ColorfulList-Accent11"/>
        <w:numPr>
          <w:ilvl w:val="0"/>
          <w:numId w:val="5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Deep vein thrombosis.</w:t>
      </w:r>
    </w:p>
    <w:p w14:paraId="0D5DD99C" w14:textId="77777777" w:rsidR="00A13D17" w:rsidRPr="003453A2" w:rsidRDefault="00A13D17" w:rsidP="00A13D17">
      <w:pPr>
        <w:pStyle w:val="ColorfulList-Accent11"/>
        <w:numPr>
          <w:ilvl w:val="0"/>
          <w:numId w:val="5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Early or late infection, both deep or superficial.</w:t>
      </w:r>
    </w:p>
    <w:p w14:paraId="6471DB6F" w14:textId="77777777" w:rsidR="00A13D17" w:rsidRPr="003453A2" w:rsidRDefault="00A13D17" w:rsidP="00A13D17">
      <w:pPr>
        <w:pStyle w:val="ColorfulList-Accent11"/>
        <w:numPr>
          <w:ilvl w:val="0"/>
          <w:numId w:val="5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Shortening of the affected bone/fracture site.</w:t>
      </w:r>
    </w:p>
    <w:p w14:paraId="7EFC2BA4" w14:textId="77777777" w:rsidR="00A13D17" w:rsidRDefault="00A13D17" w:rsidP="00A13D17">
      <w:pPr>
        <w:pStyle w:val="ColorfulList-Accent11"/>
        <w:numPr>
          <w:ilvl w:val="0"/>
          <w:numId w:val="5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Improper alignment can cause a mal-union of the bone and/or bending, cracking or even breakage of the device.</w:t>
      </w:r>
    </w:p>
    <w:p w14:paraId="696FED77" w14:textId="375B9402" w:rsidR="00125AFE" w:rsidRPr="00691537" w:rsidRDefault="00125AFE" w:rsidP="00A13D17">
      <w:pPr>
        <w:pStyle w:val="ColorfulList-Accent11"/>
        <w:numPr>
          <w:ilvl w:val="0"/>
          <w:numId w:val="5"/>
        </w:numPr>
        <w:spacing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IE"/>
        </w:rPr>
        <w:lastRenderedPageBreak/>
        <w:t>M</w:t>
      </w:r>
      <w:r w:rsidRPr="00125AFE">
        <w:rPr>
          <w:rFonts w:ascii="Times New Roman" w:hAnsi="Times New Roman"/>
          <w:lang w:val="en-IE"/>
        </w:rPr>
        <w:t>etal sensitivity reactions and/or allergic reactions to f</w:t>
      </w:r>
      <w:r>
        <w:rPr>
          <w:rFonts w:ascii="Times New Roman" w:hAnsi="Times New Roman"/>
          <w:lang w:val="en-IE"/>
        </w:rPr>
        <w:t>oreign materials of the implant.</w:t>
      </w:r>
    </w:p>
    <w:p w14:paraId="1F06AF6C" w14:textId="1DFC8484" w:rsidR="00125AFE" w:rsidRPr="00125AFE" w:rsidRDefault="00125AFE" w:rsidP="00A13D17">
      <w:pPr>
        <w:pStyle w:val="ColorfulList-Accent11"/>
        <w:numPr>
          <w:ilvl w:val="0"/>
          <w:numId w:val="5"/>
        </w:numPr>
        <w:spacing w:line="280" w:lineRule="exact"/>
        <w:jc w:val="both"/>
        <w:rPr>
          <w:rFonts w:ascii="Times New Roman" w:hAnsi="Times New Roman"/>
        </w:rPr>
      </w:pPr>
      <w:r w:rsidRPr="00691537">
        <w:rPr>
          <w:rFonts w:ascii="Times New Roman" w:hAnsi="Times New Roman"/>
        </w:rPr>
        <w:t>Pain, discomfort, or abnormal sensations due to presence of the implant.</w:t>
      </w:r>
    </w:p>
    <w:p w14:paraId="2B2333E8" w14:textId="77777777" w:rsidR="00A13D17" w:rsidRPr="003453A2" w:rsidRDefault="00A13D17" w:rsidP="00A13D17">
      <w:pPr>
        <w:pStyle w:val="ColorfulList-Accent11"/>
        <w:numPr>
          <w:ilvl w:val="0"/>
          <w:numId w:val="5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Increased fibrous tissue response around the fracture site due to unstable comminuted fractures.</w:t>
      </w:r>
    </w:p>
    <w:p w14:paraId="008B128B" w14:textId="77777777" w:rsidR="00A13D17" w:rsidRPr="003453A2" w:rsidRDefault="00A13D17" w:rsidP="00A13D17">
      <w:pPr>
        <w:pStyle w:val="ColorfulList-Accent11"/>
        <w:numPr>
          <w:ilvl w:val="0"/>
          <w:numId w:val="5"/>
        </w:numPr>
        <w:spacing w:line="280" w:lineRule="exact"/>
        <w:jc w:val="both"/>
        <w:rPr>
          <w:rFonts w:ascii="Times New Roman" w:hAnsi="Times New Roman"/>
        </w:rPr>
      </w:pPr>
      <w:r w:rsidRPr="003453A2">
        <w:rPr>
          <w:rFonts w:ascii="Times New Roman" w:hAnsi="Times New Roman"/>
        </w:rPr>
        <w:t>Conditions attributable to non-union, osteoporosis, osteomalicia, diabetes, inhibited revascularization, and poor bone formation can cause loosening, bending, cracking, fracture of the device or premature loss of rigid fixation with the bone.</w:t>
      </w:r>
    </w:p>
    <w:p w14:paraId="72530801" w14:textId="77777777" w:rsidR="00A13D17" w:rsidRPr="003453A2" w:rsidRDefault="00A13D17" w:rsidP="00A13D17">
      <w:pPr>
        <w:spacing w:line="280" w:lineRule="exact"/>
        <w:jc w:val="both"/>
        <w:rPr>
          <w:rFonts w:ascii="Times New Roman" w:hAnsi="Times New Roman"/>
          <w:b/>
          <w:i/>
          <w:u w:val="single"/>
        </w:rPr>
      </w:pPr>
    </w:p>
    <w:p w14:paraId="76670054" w14:textId="77777777" w:rsidR="00A13D17" w:rsidRPr="003453A2" w:rsidRDefault="00A13D17" w:rsidP="00A13D17">
      <w:pPr>
        <w:spacing w:line="280" w:lineRule="exact"/>
        <w:jc w:val="both"/>
        <w:rPr>
          <w:rFonts w:ascii="Times New Roman" w:hAnsi="Times New Roman"/>
          <w:b/>
          <w:i/>
          <w:u w:val="single"/>
        </w:rPr>
      </w:pPr>
      <w:r w:rsidRPr="003453A2">
        <w:rPr>
          <w:rFonts w:ascii="Times New Roman" w:hAnsi="Times New Roman"/>
          <w:b/>
          <w:i/>
          <w:u w:val="single"/>
        </w:rPr>
        <w:t>MRI Compatibility:</w:t>
      </w:r>
    </w:p>
    <w:p w14:paraId="47213424" w14:textId="77777777" w:rsidR="006E63FC" w:rsidRPr="00B038FC" w:rsidRDefault="006E63FC" w:rsidP="006E63FC">
      <w:pPr>
        <w:spacing w:line="280" w:lineRule="exact"/>
        <w:jc w:val="both"/>
        <w:rPr>
          <w:rFonts w:ascii="Times New Roman" w:hAnsi="Times New Roman"/>
        </w:rPr>
      </w:pPr>
      <w:r w:rsidRPr="00014A5A">
        <w:rPr>
          <w:rFonts w:ascii="Times New Roman" w:hAnsi="Times New Roman"/>
        </w:rPr>
        <w:t>The OrthoFuzIon Bone Screw System was determined to be MR-conditional according to the terminology specified in the American Society of Testing and Materials (ASTM) International, Designation F2503-05</w:t>
      </w:r>
      <w:r>
        <w:rPr>
          <w:rFonts w:ascii="Times New Roman" w:hAnsi="Times New Roman"/>
        </w:rPr>
        <w:t xml:space="preserve">. </w:t>
      </w:r>
      <w:r w:rsidRPr="00B038FC">
        <w:rPr>
          <w:rFonts w:ascii="Times New Roman" w:hAnsi="Times New Roman"/>
        </w:rPr>
        <w:t xml:space="preserve">A patient with this device can be scanned safely, immediately after placement under the following conditions: </w:t>
      </w:r>
    </w:p>
    <w:p w14:paraId="5FDA241D" w14:textId="77777777" w:rsidR="006E63FC" w:rsidRPr="00014A5A" w:rsidRDefault="006E63FC" w:rsidP="006E63FC">
      <w:pPr>
        <w:numPr>
          <w:ilvl w:val="0"/>
          <w:numId w:val="10"/>
        </w:numPr>
        <w:spacing w:line="280" w:lineRule="exact"/>
        <w:jc w:val="both"/>
        <w:rPr>
          <w:rFonts w:ascii="Times New Roman" w:hAnsi="Times New Roman"/>
        </w:rPr>
      </w:pPr>
      <w:r w:rsidRPr="00014A5A">
        <w:rPr>
          <w:rFonts w:ascii="Times New Roman" w:hAnsi="Times New Roman"/>
        </w:rPr>
        <w:t>Static magnetic field of 3-Tesla or less</w:t>
      </w:r>
      <w:r>
        <w:rPr>
          <w:rFonts w:ascii="Times New Roman" w:hAnsi="Times New Roman"/>
        </w:rPr>
        <w:t>;</w:t>
      </w:r>
      <w:r w:rsidRPr="00014A5A">
        <w:rPr>
          <w:rFonts w:ascii="Times New Roman" w:hAnsi="Times New Roman"/>
        </w:rPr>
        <w:t xml:space="preserve"> </w:t>
      </w:r>
    </w:p>
    <w:p w14:paraId="4EA860F9" w14:textId="77777777" w:rsidR="006E63FC" w:rsidRPr="00014A5A" w:rsidRDefault="006E63FC" w:rsidP="006E63FC">
      <w:pPr>
        <w:numPr>
          <w:ilvl w:val="0"/>
          <w:numId w:val="10"/>
        </w:numPr>
        <w:spacing w:line="280" w:lineRule="exact"/>
        <w:jc w:val="both"/>
        <w:rPr>
          <w:rFonts w:ascii="Times New Roman" w:hAnsi="Times New Roman"/>
        </w:rPr>
      </w:pPr>
      <w:r w:rsidRPr="00014A5A">
        <w:rPr>
          <w:rFonts w:ascii="Times New Roman" w:hAnsi="Times New Roman"/>
        </w:rPr>
        <w:t>Maximum spatial gradient magnetic field of 720-Gauss/cm or less</w:t>
      </w:r>
      <w:r>
        <w:rPr>
          <w:rFonts w:ascii="Times New Roman" w:hAnsi="Times New Roman"/>
        </w:rPr>
        <w:t>;</w:t>
      </w:r>
      <w:r w:rsidRPr="00014A5A">
        <w:rPr>
          <w:rFonts w:ascii="Times New Roman" w:hAnsi="Times New Roman"/>
        </w:rPr>
        <w:t xml:space="preserve"> </w:t>
      </w:r>
    </w:p>
    <w:p w14:paraId="2C9D14A3" w14:textId="77777777" w:rsidR="006E63FC" w:rsidRPr="00014A5A" w:rsidRDefault="006E63FC" w:rsidP="006E63FC">
      <w:pPr>
        <w:numPr>
          <w:ilvl w:val="0"/>
          <w:numId w:val="10"/>
        </w:numPr>
        <w:spacing w:line="280" w:lineRule="exact"/>
        <w:jc w:val="both"/>
        <w:rPr>
          <w:rFonts w:ascii="Times New Roman" w:hAnsi="Times New Roman"/>
        </w:rPr>
      </w:pPr>
      <w:r w:rsidRPr="00014A5A">
        <w:rPr>
          <w:rFonts w:ascii="Times New Roman" w:hAnsi="Times New Roman"/>
        </w:rPr>
        <w:t>Maximum MR system reported, whole body averaged specific absorption rate (SAR) of 2-W/kg for 15 minutes of scanning (i.e., per pulse sequence)</w:t>
      </w:r>
      <w:r>
        <w:rPr>
          <w:rFonts w:ascii="Times New Roman" w:hAnsi="Times New Roman"/>
        </w:rPr>
        <w:t>; and</w:t>
      </w:r>
    </w:p>
    <w:p w14:paraId="212D8570" w14:textId="1FA9B565" w:rsidR="006E63FC" w:rsidRPr="00014A5A" w:rsidRDefault="006E63FC" w:rsidP="006E63FC">
      <w:pPr>
        <w:numPr>
          <w:ilvl w:val="0"/>
          <w:numId w:val="10"/>
        </w:numPr>
        <w:spacing w:line="280" w:lineRule="exact"/>
        <w:jc w:val="both"/>
        <w:rPr>
          <w:rFonts w:ascii="Times New Roman" w:hAnsi="Times New Roman"/>
        </w:rPr>
      </w:pPr>
      <w:r w:rsidRPr="00014A5A">
        <w:rPr>
          <w:rFonts w:ascii="Times New Roman" w:hAnsi="Times New Roman"/>
        </w:rPr>
        <w:t>Normal Operating Mode of operation for the MR system</w:t>
      </w:r>
      <w:r>
        <w:rPr>
          <w:rFonts w:ascii="Times New Roman" w:hAnsi="Times New Roman"/>
        </w:rPr>
        <w:t>.</w:t>
      </w:r>
      <w:r w:rsidRPr="00014A5A">
        <w:rPr>
          <w:rFonts w:ascii="Times New Roman" w:hAnsi="Times New Roman"/>
        </w:rPr>
        <w:t xml:space="preserve"> </w:t>
      </w:r>
    </w:p>
    <w:p w14:paraId="3F29FE86" w14:textId="77777777" w:rsidR="00C55CFD" w:rsidRDefault="00C55CFD" w:rsidP="00C55CFD">
      <w:pPr>
        <w:spacing w:line="280" w:lineRule="exact"/>
        <w:jc w:val="both"/>
        <w:rPr>
          <w:rFonts w:ascii="Times New Roman" w:hAnsi="Times New Roman"/>
          <w:b/>
          <w:i/>
          <w:u w:val="single"/>
        </w:rPr>
      </w:pPr>
    </w:p>
    <w:p w14:paraId="491642D4" w14:textId="47721373" w:rsidR="00DB27AC" w:rsidRPr="00540791" w:rsidRDefault="000F5F74" w:rsidP="00C55CFD">
      <w:pPr>
        <w:spacing w:line="280" w:lineRule="exact"/>
        <w:jc w:val="both"/>
        <w:rPr>
          <w:rFonts w:ascii="Times New Roman" w:hAnsi="Times New Roman"/>
        </w:rPr>
      </w:pPr>
      <w:r w:rsidRPr="000F5F74">
        <w:rPr>
          <w:rFonts w:ascii="Times New Roman" w:hAnsi="Times New Roman"/>
        </w:rPr>
        <w:t xml:space="preserve">All </w:t>
      </w:r>
      <w:r w:rsidR="00F9751B">
        <w:rPr>
          <w:rFonts w:ascii="Times New Roman" w:hAnsi="Times New Roman"/>
        </w:rPr>
        <w:t>OrthoFuzIon b</w:t>
      </w:r>
      <w:r w:rsidRPr="000F5F74">
        <w:rPr>
          <w:rFonts w:ascii="Times New Roman" w:hAnsi="Times New Roman"/>
        </w:rPr>
        <w:t xml:space="preserve">one </w:t>
      </w:r>
      <w:r w:rsidR="00F9751B">
        <w:rPr>
          <w:rFonts w:ascii="Times New Roman" w:hAnsi="Times New Roman"/>
        </w:rPr>
        <w:t>s</w:t>
      </w:r>
      <w:r w:rsidRPr="000F5F74">
        <w:rPr>
          <w:rFonts w:ascii="Times New Roman" w:hAnsi="Times New Roman"/>
        </w:rPr>
        <w:t xml:space="preserve">crews have a </w:t>
      </w:r>
      <w:r w:rsidR="008B4641">
        <w:rPr>
          <w:rFonts w:ascii="Times New Roman" w:hAnsi="Times New Roman"/>
        </w:rPr>
        <w:t>H</w:t>
      </w:r>
      <w:r w:rsidRPr="000F5F74">
        <w:rPr>
          <w:rFonts w:ascii="Times New Roman" w:hAnsi="Times New Roman"/>
        </w:rPr>
        <w:t xml:space="preserve">ex </w:t>
      </w:r>
      <w:r w:rsidR="00FB3BC1">
        <w:rPr>
          <w:rFonts w:ascii="Times New Roman" w:hAnsi="Times New Roman"/>
        </w:rPr>
        <w:t>h</w:t>
      </w:r>
      <w:r w:rsidRPr="000F5F74">
        <w:rPr>
          <w:rFonts w:ascii="Times New Roman" w:hAnsi="Times New Roman"/>
        </w:rPr>
        <w:t>ead.  Use the appropriate driver to implant the screw</w:t>
      </w:r>
      <w:r w:rsidR="00540791">
        <w:rPr>
          <w:rFonts w:ascii="Times New Roman" w:hAnsi="Times New Roman"/>
        </w:rPr>
        <w:t xml:space="preserve"> as any other commercially available bone screws are utilized.</w:t>
      </w:r>
      <w:r w:rsidRPr="000F5F74">
        <w:rPr>
          <w:rFonts w:ascii="Times New Roman" w:hAnsi="Times New Roman"/>
        </w:rPr>
        <w:t xml:space="preserve">  The following drill pilot hole guidance </w:t>
      </w:r>
      <w:r w:rsidR="00333DC1">
        <w:rPr>
          <w:rFonts w:ascii="Times New Roman" w:hAnsi="Times New Roman"/>
        </w:rPr>
        <w:t>is for</w:t>
      </w:r>
      <w:r w:rsidRPr="000F5F74">
        <w:rPr>
          <w:rFonts w:ascii="Times New Roman" w:hAnsi="Times New Roman"/>
        </w:rPr>
        <w:t xml:space="preserve"> </w:t>
      </w:r>
      <w:r w:rsidR="00FE4366">
        <w:rPr>
          <w:rFonts w:ascii="Times New Roman" w:hAnsi="Times New Roman"/>
        </w:rPr>
        <w:t>the</w:t>
      </w:r>
      <w:r w:rsidRPr="000F5F74">
        <w:rPr>
          <w:rFonts w:ascii="Times New Roman" w:hAnsi="Times New Roman"/>
        </w:rPr>
        <w:t xml:space="preserve"> </w:t>
      </w:r>
      <w:r w:rsidR="00F9751B">
        <w:rPr>
          <w:rFonts w:ascii="Times New Roman" w:hAnsi="Times New Roman"/>
        </w:rPr>
        <w:t>OrthoFuzIon</w:t>
      </w:r>
      <w:r w:rsidRPr="000F5F74">
        <w:rPr>
          <w:rFonts w:ascii="Times New Roman" w:hAnsi="Times New Roman"/>
        </w:rPr>
        <w:t xml:space="preserve"> screws</w:t>
      </w:r>
      <w:r w:rsidR="00FE4366">
        <w:rPr>
          <w:rFonts w:ascii="Times New Roman" w:hAnsi="Times New Roman"/>
        </w:rPr>
        <w:t>:</w:t>
      </w:r>
    </w:p>
    <w:p w14:paraId="760EAB49" w14:textId="77777777" w:rsidR="00DB27AC" w:rsidRDefault="00DB27AC" w:rsidP="00C55CFD">
      <w:pPr>
        <w:spacing w:line="280" w:lineRule="exact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840"/>
      </w:tblGrid>
      <w:tr w:rsidR="00DB27AC" w:rsidRPr="00DB27AC" w14:paraId="77B761C1" w14:textId="77777777">
        <w:trPr>
          <w:trHeight w:val="312"/>
        </w:trPr>
        <w:tc>
          <w:tcPr>
            <w:tcW w:w="1720" w:type="dxa"/>
            <w:noWrap/>
          </w:tcPr>
          <w:p w14:paraId="2BCDFB6B" w14:textId="3AFF0649" w:rsidR="00DB27AC" w:rsidRPr="00DB27AC" w:rsidRDefault="00DB27AC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Screw OD</w:t>
            </w:r>
            <w:r w:rsidR="009B0090">
              <w:rPr>
                <w:rFonts w:ascii="Times New Roman" w:hAnsi="Times New Roman"/>
                <w:b/>
              </w:rPr>
              <w:t xml:space="preserve"> (mm)</w:t>
            </w:r>
          </w:p>
        </w:tc>
        <w:tc>
          <w:tcPr>
            <w:tcW w:w="1840" w:type="dxa"/>
            <w:noWrap/>
          </w:tcPr>
          <w:p w14:paraId="0CE94FA2" w14:textId="77777777" w:rsidR="009B0090" w:rsidRDefault="00DB27AC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Drill Size</w:t>
            </w:r>
          </w:p>
          <w:p w14:paraId="183300EE" w14:textId="6DA0ABC0" w:rsidR="00DB27AC" w:rsidRPr="00DB27AC" w:rsidRDefault="009B0090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(mm)</w:t>
            </w:r>
          </w:p>
        </w:tc>
      </w:tr>
      <w:tr w:rsidR="00DB27AC" w:rsidRPr="00DB27AC" w14:paraId="432C6B80" w14:textId="77777777">
        <w:trPr>
          <w:trHeight w:val="312"/>
        </w:trPr>
        <w:tc>
          <w:tcPr>
            <w:tcW w:w="1720" w:type="dxa"/>
            <w:noWrap/>
          </w:tcPr>
          <w:p w14:paraId="512E2B43" w14:textId="77777777" w:rsidR="00DB27AC" w:rsidRPr="00DB27AC" w:rsidRDefault="00DB27AC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DB27AC">
              <w:rPr>
                <w:rFonts w:ascii="Times New Roman" w:hAnsi="Times New Roman"/>
                <w:b/>
              </w:rPr>
              <w:t>4.00</w:t>
            </w:r>
          </w:p>
        </w:tc>
        <w:tc>
          <w:tcPr>
            <w:tcW w:w="1840" w:type="dxa"/>
            <w:noWrap/>
          </w:tcPr>
          <w:p w14:paraId="733E96CF" w14:textId="2551B3AE" w:rsidR="00DB27AC" w:rsidRPr="00DB27AC" w:rsidRDefault="00E03613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2.7</w:t>
            </w:r>
            <w:r w:rsidR="00DB27AC" w:rsidRPr="00DB27AC">
              <w:rPr>
                <w:rFonts w:ascii="Times New Roman" w:hAnsi="Times New Roman"/>
                <w:b/>
              </w:rPr>
              <w:t>0</w:t>
            </w:r>
          </w:p>
        </w:tc>
      </w:tr>
      <w:tr w:rsidR="00DB27AC" w:rsidRPr="00DB27AC" w14:paraId="728153ED" w14:textId="77777777">
        <w:trPr>
          <w:trHeight w:val="312"/>
        </w:trPr>
        <w:tc>
          <w:tcPr>
            <w:tcW w:w="1720" w:type="dxa"/>
            <w:noWrap/>
          </w:tcPr>
          <w:p w14:paraId="1A24E159" w14:textId="77777777" w:rsidR="00DB27AC" w:rsidRPr="00DB27AC" w:rsidRDefault="00DB27AC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DB27AC">
              <w:rPr>
                <w:rFonts w:ascii="Times New Roman" w:hAnsi="Times New Roman"/>
                <w:b/>
              </w:rPr>
              <w:t>4.50</w:t>
            </w:r>
          </w:p>
        </w:tc>
        <w:tc>
          <w:tcPr>
            <w:tcW w:w="1840" w:type="dxa"/>
            <w:noWrap/>
          </w:tcPr>
          <w:p w14:paraId="13E5D0A0" w14:textId="77777777" w:rsidR="00DB27AC" w:rsidRPr="00DB27AC" w:rsidRDefault="00DB27AC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DB27AC">
              <w:rPr>
                <w:rFonts w:ascii="Times New Roman" w:hAnsi="Times New Roman"/>
                <w:b/>
              </w:rPr>
              <w:t>3.00</w:t>
            </w:r>
          </w:p>
        </w:tc>
      </w:tr>
      <w:tr w:rsidR="00DB27AC" w:rsidRPr="00DB27AC" w14:paraId="5F971C08" w14:textId="77777777">
        <w:trPr>
          <w:trHeight w:val="312"/>
        </w:trPr>
        <w:tc>
          <w:tcPr>
            <w:tcW w:w="1720" w:type="dxa"/>
            <w:noWrap/>
          </w:tcPr>
          <w:p w14:paraId="667DA813" w14:textId="77777777" w:rsidR="00DB27AC" w:rsidRPr="00DB27AC" w:rsidRDefault="00DB27AC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DB27AC">
              <w:rPr>
                <w:rFonts w:ascii="Times New Roman" w:hAnsi="Times New Roman"/>
                <w:b/>
              </w:rPr>
              <w:t>5.00</w:t>
            </w:r>
          </w:p>
        </w:tc>
        <w:tc>
          <w:tcPr>
            <w:tcW w:w="1840" w:type="dxa"/>
            <w:noWrap/>
          </w:tcPr>
          <w:p w14:paraId="7DA5E034" w14:textId="77777777" w:rsidR="00DB27AC" w:rsidRPr="00DB27AC" w:rsidRDefault="00DB27AC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DB27AC">
              <w:rPr>
                <w:rFonts w:ascii="Times New Roman" w:hAnsi="Times New Roman"/>
                <w:b/>
              </w:rPr>
              <w:t>3.50</w:t>
            </w:r>
          </w:p>
        </w:tc>
      </w:tr>
      <w:tr w:rsidR="00DB27AC" w:rsidRPr="00DB27AC" w14:paraId="3835AE18" w14:textId="77777777">
        <w:trPr>
          <w:trHeight w:val="315"/>
        </w:trPr>
        <w:tc>
          <w:tcPr>
            <w:tcW w:w="1720" w:type="dxa"/>
            <w:noWrap/>
          </w:tcPr>
          <w:p w14:paraId="431B4389" w14:textId="77777777" w:rsidR="00DB27AC" w:rsidRPr="00DB27AC" w:rsidRDefault="00DB27AC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DB27AC">
              <w:rPr>
                <w:rFonts w:ascii="Times New Roman" w:hAnsi="Times New Roman"/>
                <w:b/>
              </w:rPr>
              <w:t>5.50</w:t>
            </w:r>
          </w:p>
        </w:tc>
        <w:tc>
          <w:tcPr>
            <w:tcW w:w="1840" w:type="dxa"/>
            <w:noWrap/>
          </w:tcPr>
          <w:p w14:paraId="07FAB670" w14:textId="77777777" w:rsidR="00DB27AC" w:rsidRPr="00DB27AC" w:rsidRDefault="00DB27AC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DB27AC">
              <w:rPr>
                <w:rFonts w:ascii="Times New Roman" w:hAnsi="Times New Roman"/>
                <w:b/>
              </w:rPr>
              <w:t>4.00</w:t>
            </w:r>
          </w:p>
        </w:tc>
      </w:tr>
      <w:tr w:rsidR="00DB27AC" w:rsidRPr="00DB27AC" w14:paraId="4593646E" w14:textId="77777777">
        <w:trPr>
          <w:trHeight w:val="315"/>
        </w:trPr>
        <w:tc>
          <w:tcPr>
            <w:tcW w:w="1720" w:type="dxa"/>
            <w:noWrap/>
          </w:tcPr>
          <w:p w14:paraId="7E64AC87" w14:textId="77777777" w:rsidR="00DB27AC" w:rsidRPr="00DB27AC" w:rsidRDefault="00DB27AC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DB27AC">
              <w:rPr>
                <w:rFonts w:ascii="Times New Roman" w:hAnsi="Times New Roman"/>
                <w:b/>
              </w:rPr>
              <w:t>6.00</w:t>
            </w:r>
          </w:p>
        </w:tc>
        <w:tc>
          <w:tcPr>
            <w:tcW w:w="1840" w:type="dxa"/>
            <w:noWrap/>
          </w:tcPr>
          <w:p w14:paraId="773BA0C4" w14:textId="77777777" w:rsidR="00DB27AC" w:rsidRPr="00DB27AC" w:rsidRDefault="00DB27AC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DB27AC">
              <w:rPr>
                <w:rFonts w:ascii="Times New Roman" w:hAnsi="Times New Roman"/>
                <w:b/>
              </w:rPr>
              <w:t>4.40</w:t>
            </w:r>
          </w:p>
        </w:tc>
      </w:tr>
      <w:tr w:rsidR="00DB27AC" w:rsidRPr="00DB27AC" w14:paraId="1B459987" w14:textId="77777777">
        <w:trPr>
          <w:trHeight w:val="315"/>
        </w:trPr>
        <w:tc>
          <w:tcPr>
            <w:tcW w:w="1720" w:type="dxa"/>
            <w:noWrap/>
          </w:tcPr>
          <w:p w14:paraId="4280B916" w14:textId="77777777" w:rsidR="00DB27AC" w:rsidRPr="00DB27AC" w:rsidRDefault="00DB27AC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DB27AC">
              <w:rPr>
                <w:rFonts w:ascii="Times New Roman" w:hAnsi="Times New Roman"/>
                <w:b/>
              </w:rPr>
              <w:t>6.50</w:t>
            </w:r>
          </w:p>
        </w:tc>
        <w:tc>
          <w:tcPr>
            <w:tcW w:w="1840" w:type="dxa"/>
            <w:noWrap/>
          </w:tcPr>
          <w:p w14:paraId="5F4954C3" w14:textId="77777777" w:rsidR="00DB27AC" w:rsidRPr="00DB27AC" w:rsidRDefault="00DB27AC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DB27AC">
              <w:rPr>
                <w:rFonts w:ascii="Times New Roman" w:hAnsi="Times New Roman"/>
                <w:b/>
              </w:rPr>
              <w:t>4.80</w:t>
            </w:r>
          </w:p>
        </w:tc>
      </w:tr>
      <w:tr w:rsidR="00DB27AC" w:rsidRPr="00DB27AC" w14:paraId="12FF04B5" w14:textId="77777777">
        <w:trPr>
          <w:trHeight w:val="315"/>
        </w:trPr>
        <w:tc>
          <w:tcPr>
            <w:tcW w:w="1720" w:type="dxa"/>
            <w:noWrap/>
          </w:tcPr>
          <w:p w14:paraId="581F9DF8" w14:textId="77777777" w:rsidR="00DB27AC" w:rsidRPr="00DB27AC" w:rsidRDefault="00DB27AC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DB27AC">
              <w:rPr>
                <w:rFonts w:ascii="Times New Roman" w:hAnsi="Times New Roman"/>
                <w:b/>
              </w:rPr>
              <w:t>7.00</w:t>
            </w:r>
          </w:p>
        </w:tc>
        <w:tc>
          <w:tcPr>
            <w:tcW w:w="1840" w:type="dxa"/>
            <w:noWrap/>
          </w:tcPr>
          <w:p w14:paraId="4FFC0956" w14:textId="77777777" w:rsidR="00DB27AC" w:rsidRPr="00DB27AC" w:rsidRDefault="00DB27AC" w:rsidP="00313DEC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DB27AC">
              <w:rPr>
                <w:rFonts w:ascii="Times New Roman" w:hAnsi="Times New Roman"/>
                <w:b/>
              </w:rPr>
              <w:t>5.20</w:t>
            </w:r>
          </w:p>
        </w:tc>
      </w:tr>
    </w:tbl>
    <w:p w14:paraId="07D67C27" w14:textId="77777777" w:rsidR="007E39F4" w:rsidRDefault="007E39F4" w:rsidP="007E39F4">
      <w:pPr>
        <w:rPr>
          <w:rFonts w:ascii="Times New Roman" w:hAnsi="Times New Roman"/>
          <w:b/>
          <w:i/>
          <w:u w:val="single"/>
        </w:rPr>
      </w:pPr>
    </w:p>
    <w:p w14:paraId="0BA81576" w14:textId="77777777" w:rsidR="002F11E3" w:rsidRDefault="002F11E3" w:rsidP="002F11E3">
      <w:pPr>
        <w:rPr>
          <w:rFonts w:ascii="Times New Roman" w:hAnsi="Times New Roman"/>
          <w:i/>
        </w:rPr>
      </w:pPr>
    </w:p>
    <w:p w14:paraId="4AF227A2" w14:textId="78884A87" w:rsidR="007A55ED" w:rsidRDefault="002F11E3" w:rsidP="002F11E3">
      <w:pPr>
        <w:contextualSpacing/>
        <w:rPr>
          <w:rFonts w:ascii="Times New Roman" w:hAnsi="Times New Roman"/>
          <w:color w:val="000000" w:themeColor="text1"/>
        </w:rPr>
      </w:pPr>
      <w:r w:rsidRPr="0010132A">
        <w:rPr>
          <w:rFonts w:ascii="Times New Roman" w:hAnsi="Times New Roman"/>
          <w:color w:val="000000" w:themeColor="text1"/>
        </w:rPr>
        <w:t xml:space="preserve">The safety and effectiveness of the OrthoFuzIon </w:t>
      </w:r>
      <w:r w:rsidR="00C71A5F">
        <w:rPr>
          <w:rFonts w:ascii="Times New Roman" w:hAnsi="Times New Roman"/>
          <w:color w:val="000000" w:themeColor="text1"/>
        </w:rPr>
        <w:t xml:space="preserve">Bone </w:t>
      </w:r>
      <w:r w:rsidRPr="0010132A">
        <w:rPr>
          <w:rFonts w:ascii="Times New Roman" w:hAnsi="Times New Roman"/>
          <w:color w:val="000000" w:themeColor="text1"/>
        </w:rPr>
        <w:t>Screw System has been demonstrated with standard GLP Biocompatibility studies and ASTM Biomechanical testing.</w:t>
      </w:r>
      <w:r w:rsidR="006D739E">
        <w:rPr>
          <w:rFonts w:ascii="Times New Roman" w:hAnsi="Times New Roman"/>
          <w:color w:val="000000" w:themeColor="text1"/>
        </w:rPr>
        <w:t xml:space="preserve"> </w:t>
      </w:r>
    </w:p>
    <w:p w14:paraId="30360F28" w14:textId="77777777" w:rsidR="007A55ED" w:rsidRDefault="007A55ED" w:rsidP="002F11E3">
      <w:pPr>
        <w:contextualSpacing/>
        <w:rPr>
          <w:rFonts w:ascii="Times New Roman" w:hAnsi="Times New Roman"/>
          <w:color w:val="000000" w:themeColor="text1"/>
        </w:rPr>
      </w:pPr>
    </w:p>
    <w:p w14:paraId="7CD8390F" w14:textId="4D52D7D7" w:rsidR="007A55ED" w:rsidRPr="007A55ED" w:rsidRDefault="006D739E" w:rsidP="007A55ED">
      <w:pPr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</w:t>
      </w:r>
      <w:r w:rsidRPr="006D739E">
        <w:rPr>
          <w:rFonts w:ascii="Times New Roman" w:hAnsi="Times New Roman"/>
          <w:color w:val="000000" w:themeColor="text1"/>
        </w:rPr>
        <w:t xml:space="preserve">he antimicrobial </w:t>
      </w:r>
      <w:r w:rsidR="00E11D97">
        <w:rPr>
          <w:rFonts w:ascii="Times New Roman" w:hAnsi="Times New Roman"/>
          <w:color w:val="000000" w:themeColor="text1"/>
        </w:rPr>
        <w:t xml:space="preserve">effects </w:t>
      </w:r>
      <w:r w:rsidRPr="006D739E">
        <w:rPr>
          <w:rFonts w:ascii="Times New Roman" w:hAnsi="Times New Roman"/>
          <w:color w:val="000000" w:themeColor="text1"/>
        </w:rPr>
        <w:t xml:space="preserve">of </w:t>
      </w:r>
      <w:r w:rsidR="00E11D97" w:rsidRPr="007A55ED">
        <w:rPr>
          <w:rFonts w:ascii="Times New Roman" w:hAnsi="Times New Roman"/>
          <w:color w:val="000000" w:themeColor="text1"/>
        </w:rPr>
        <w:t xml:space="preserve">the OrthoFuzIon </w:t>
      </w:r>
      <w:r w:rsidR="00C71A5F">
        <w:rPr>
          <w:rFonts w:ascii="Times New Roman" w:hAnsi="Times New Roman"/>
          <w:color w:val="000000" w:themeColor="text1"/>
        </w:rPr>
        <w:t xml:space="preserve">Bone </w:t>
      </w:r>
      <w:r w:rsidR="00E11D97" w:rsidRPr="007A55ED">
        <w:rPr>
          <w:rFonts w:ascii="Times New Roman" w:hAnsi="Times New Roman"/>
          <w:color w:val="000000" w:themeColor="text1"/>
        </w:rPr>
        <w:t>Screw System</w:t>
      </w:r>
      <w:r w:rsidR="00E11D97">
        <w:rPr>
          <w:rFonts w:ascii="Times New Roman" w:hAnsi="Times New Roman"/>
          <w:color w:val="000000" w:themeColor="text1"/>
        </w:rPr>
        <w:t xml:space="preserve"> has</w:t>
      </w:r>
      <w:r w:rsidRPr="006D739E">
        <w:rPr>
          <w:rFonts w:ascii="Times New Roman" w:hAnsi="Times New Roman"/>
          <w:color w:val="000000" w:themeColor="text1"/>
        </w:rPr>
        <w:t xml:space="preserve"> been demonstrated in</w:t>
      </w:r>
      <w:r>
        <w:rPr>
          <w:rFonts w:ascii="Times New Roman" w:hAnsi="Times New Roman"/>
          <w:color w:val="000000" w:themeColor="text1"/>
        </w:rPr>
        <w:t>-</w:t>
      </w:r>
      <w:r w:rsidRPr="006D739E">
        <w:rPr>
          <w:rFonts w:ascii="Times New Roman" w:hAnsi="Times New Roman"/>
          <w:color w:val="000000" w:themeColor="text1"/>
        </w:rPr>
        <w:t>vitro</w:t>
      </w:r>
      <w:r w:rsidR="007A55ED">
        <w:rPr>
          <w:rFonts w:ascii="Times New Roman" w:hAnsi="Times New Roman"/>
          <w:color w:val="000000" w:themeColor="text1"/>
        </w:rPr>
        <w:t xml:space="preserve"> </w:t>
      </w:r>
      <w:r w:rsidR="007A55ED" w:rsidRPr="007A55ED">
        <w:rPr>
          <w:rFonts w:ascii="Times New Roman" w:hAnsi="Times New Roman"/>
          <w:color w:val="000000" w:themeColor="text1"/>
        </w:rPr>
        <w:t>against the following representative organisms commonly found in orthopedic infections:</w:t>
      </w:r>
    </w:p>
    <w:p w14:paraId="0E11DDBA" w14:textId="6D20F4E5" w:rsidR="007A55ED" w:rsidRDefault="007A55ED" w:rsidP="007A55ED">
      <w:pPr>
        <w:contextualSpacing/>
        <w:rPr>
          <w:rFonts w:ascii="Times New Roman" w:hAnsi="Times New Roman"/>
          <w:color w:val="000000" w:themeColor="text1"/>
        </w:rPr>
      </w:pPr>
    </w:p>
    <w:p w14:paraId="245FED3B" w14:textId="61CDA4CA" w:rsidR="00D916ED" w:rsidRDefault="00D916ED" w:rsidP="007A55ED">
      <w:pPr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One study showed </w:t>
      </w:r>
      <w:r w:rsidRPr="00D916ED">
        <w:rPr>
          <w:rFonts w:ascii="Times New Roman" w:hAnsi="Times New Roman"/>
          <w:color w:val="000000" w:themeColor="text1"/>
        </w:rPr>
        <w:t>the amount of growth</w:t>
      </w:r>
      <w:r>
        <w:rPr>
          <w:rFonts w:ascii="Times New Roman" w:hAnsi="Times New Roman"/>
          <w:color w:val="000000" w:themeColor="text1"/>
        </w:rPr>
        <w:t xml:space="preserve"> around the device were reduced at 72 hours for: </w:t>
      </w:r>
    </w:p>
    <w:p w14:paraId="4270980E" w14:textId="77777777" w:rsidR="00D916ED" w:rsidRPr="00D916ED" w:rsidRDefault="00D916ED" w:rsidP="00D916ED">
      <w:pPr>
        <w:numPr>
          <w:ilvl w:val="0"/>
          <w:numId w:val="8"/>
        </w:numPr>
        <w:contextualSpacing/>
        <w:rPr>
          <w:rFonts w:ascii="Times New Roman" w:hAnsi="Times New Roman"/>
          <w:color w:val="000000" w:themeColor="text1"/>
        </w:rPr>
      </w:pPr>
      <w:r w:rsidRPr="00D916ED">
        <w:rPr>
          <w:rFonts w:ascii="Times New Roman" w:hAnsi="Times New Roman"/>
          <w:color w:val="000000" w:themeColor="text1"/>
        </w:rPr>
        <w:t>Escherichia coli</w:t>
      </w:r>
    </w:p>
    <w:p w14:paraId="74862B5F" w14:textId="77777777" w:rsidR="00D916ED" w:rsidRPr="00D916ED" w:rsidRDefault="00D916ED" w:rsidP="00D916ED">
      <w:pPr>
        <w:numPr>
          <w:ilvl w:val="0"/>
          <w:numId w:val="8"/>
        </w:numPr>
        <w:contextualSpacing/>
        <w:rPr>
          <w:rFonts w:ascii="Times New Roman" w:hAnsi="Times New Roman"/>
          <w:color w:val="000000" w:themeColor="text1"/>
        </w:rPr>
      </w:pPr>
      <w:r w:rsidRPr="00D916ED">
        <w:rPr>
          <w:rFonts w:ascii="Times New Roman" w:hAnsi="Times New Roman"/>
          <w:color w:val="000000" w:themeColor="text1"/>
        </w:rPr>
        <w:t>Staphylococcus aureus</w:t>
      </w:r>
    </w:p>
    <w:p w14:paraId="5A3AD6FE" w14:textId="77777777" w:rsidR="00D916ED" w:rsidRPr="00D916ED" w:rsidRDefault="00D916ED" w:rsidP="00D916ED">
      <w:pPr>
        <w:numPr>
          <w:ilvl w:val="0"/>
          <w:numId w:val="8"/>
        </w:numPr>
        <w:contextualSpacing/>
        <w:rPr>
          <w:rFonts w:ascii="Times New Roman" w:hAnsi="Times New Roman"/>
          <w:color w:val="000000" w:themeColor="text1"/>
        </w:rPr>
      </w:pPr>
      <w:r w:rsidRPr="00D916ED">
        <w:rPr>
          <w:rFonts w:ascii="Times New Roman" w:hAnsi="Times New Roman"/>
          <w:color w:val="000000" w:themeColor="text1"/>
        </w:rPr>
        <w:t>Staphylococcus epidermidis</w:t>
      </w:r>
    </w:p>
    <w:p w14:paraId="1E56B54D" w14:textId="77777777" w:rsidR="00D916ED" w:rsidRPr="00D916ED" w:rsidRDefault="00D916ED" w:rsidP="00D916ED">
      <w:pPr>
        <w:numPr>
          <w:ilvl w:val="0"/>
          <w:numId w:val="8"/>
        </w:numPr>
        <w:contextualSpacing/>
        <w:rPr>
          <w:rFonts w:ascii="Times New Roman" w:hAnsi="Times New Roman"/>
          <w:color w:val="000000" w:themeColor="text1"/>
        </w:rPr>
      </w:pPr>
      <w:r w:rsidRPr="00D916ED">
        <w:rPr>
          <w:rFonts w:ascii="Times New Roman" w:hAnsi="Times New Roman"/>
          <w:color w:val="000000" w:themeColor="text1"/>
        </w:rPr>
        <w:t>Pseudomonas aeruginosa</w:t>
      </w:r>
    </w:p>
    <w:p w14:paraId="7F761B71" w14:textId="77777777" w:rsidR="00D916ED" w:rsidRPr="00D916ED" w:rsidRDefault="00D916ED" w:rsidP="00D916ED">
      <w:pPr>
        <w:numPr>
          <w:ilvl w:val="0"/>
          <w:numId w:val="8"/>
        </w:numPr>
        <w:contextualSpacing/>
        <w:rPr>
          <w:rFonts w:ascii="Times New Roman" w:hAnsi="Times New Roman"/>
          <w:color w:val="000000" w:themeColor="text1"/>
        </w:rPr>
      </w:pPr>
      <w:r w:rsidRPr="00D916ED">
        <w:rPr>
          <w:rFonts w:ascii="Times New Roman" w:hAnsi="Times New Roman"/>
          <w:color w:val="000000" w:themeColor="text1"/>
        </w:rPr>
        <w:t>Enterococcus faecalis</w:t>
      </w:r>
    </w:p>
    <w:p w14:paraId="129BCDAC" w14:textId="20CA6143" w:rsidR="00D916ED" w:rsidRDefault="00D916ED" w:rsidP="007A55ED">
      <w:pPr>
        <w:contextualSpacing/>
        <w:rPr>
          <w:rFonts w:ascii="Times New Roman" w:hAnsi="Times New Roman"/>
          <w:color w:val="000000" w:themeColor="text1"/>
        </w:rPr>
      </w:pPr>
    </w:p>
    <w:p w14:paraId="0F021A10" w14:textId="594E1C00" w:rsidR="00D916ED" w:rsidRDefault="00D916ED" w:rsidP="007A55ED">
      <w:pPr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subsequent study showed </w:t>
      </w:r>
      <w:r w:rsidR="00AA512A" w:rsidRPr="00AA512A">
        <w:rPr>
          <w:rFonts w:ascii="Times New Roman" w:hAnsi="Times New Roman"/>
          <w:color w:val="000000" w:themeColor="text1"/>
        </w:rPr>
        <w:t>methicillin-resistant Staphylococcus aureus (MRSA)</w:t>
      </w:r>
      <w:r w:rsidRPr="00D916ED">
        <w:rPr>
          <w:rFonts w:ascii="Times New Roman" w:hAnsi="Times New Roman"/>
          <w:color w:val="000000" w:themeColor="text1"/>
        </w:rPr>
        <w:t xml:space="preserve"> was not detected </w:t>
      </w:r>
      <w:r>
        <w:rPr>
          <w:rFonts w:ascii="Times New Roman" w:hAnsi="Times New Roman"/>
          <w:color w:val="000000" w:themeColor="text1"/>
        </w:rPr>
        <w:t>on the device after</w:t>
      </w:r>
      <w:r w:rsidRPr="00D916ED">
        <w:rPr>
          <w:rFonts w:ascii="Times New Roman" w:hAnsi="Times New Roman"/>
          <w:color w:val="000000" w:themeColor="text1"/>
        </w:rPr>
        <w:t xml:space="preserve"> 24, 48, and 72 hours</w:t>
      </w:r>
      <w:r>
        <w:rPr>
          <w:rFonts w:ascii="Times New Roman" w:hAnsi="Times New Roman"/>
          <w:color w:val="000000" w:themeColor="text1"/>
        </w:rPr>
        <w:t>.</w:t>
      </w:r>
    </w:p>
    <w:p w14:paraId="6E9A0498" w14:textId="0FAA0F32" w:rsidR="00D916ED" w:rsidRDefault="00D916ED" w:rsidP="007A55ED">
      <w:pPr>
        <w:contextualSpacing/>
        <w:rPr>
          <w:rFonts w:ascii="Times New Roman" w:hAnsi="Times New Roman"/>
          <w:color w:val="000000" w:themeColor="text1"/>
        </w:rPr>
      </w:pPr>
    </w:p>
    <w:p w14:paraId="4554DD43" w14:textId="5DCC8130" w:rsidR="00AA512A" w:rsidRPr="00AA512A" w:rsidRDefault="00AA512A" w:rsidP="00AA512A">
      <w:pPr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Another study showed </w:t>
      </w:r>
      <w:r w:rsidRPr="00AA512A">
        <w:rPr>
          <w:rFonts w:ascii="Times New Roman" w:hAnsi="Times New Roman"/>
          <w:color w:val="000000" w:themeColor="text1"/>
        </w:rPr>
        <w:t>the following</w:t>
      </w:r>
      <w:r>
        <w:rPr>
          <w:rFonts w:ascii="Times New Roman" w:hAnsi="Times New Roman"/>
          <w:color w:val="000000" w:themeColor="text1"/>
        </w:rPr>
        <w:t xml:space="preserve"> were not detected on the device at 24 hours</w:t>
      </w:r>
      <w:r w:rsidRPr="00AA512A">
        <w:rPr>
          <w:rFonts w:ascii="Times New Roman" w:hAnsi="Times New Roman"/>
          <w:color w:val="000000" w:themeColor="text1"/>
        </w:rPr>
        <w:t>:</w:t>
      </w:r>
    </w:p>
    <w:p w14:paraId="63B93E09" w14:textId="77777777" w:rsidR="00AA512A" w:rsidRPr="00AA512A" w:rsidRDefault="00AA512A" w:rsidP="00AA512A">
      <w:pPr>
        <w:numPr>
          <w:ilvl w:val="0"/>
          <w:numId w:val="9"/>
        </w:numPr>
        <w:contextualSpacing/>
        <w:rPr>
          <w:rFonts w:ascii="Times New Roman" w:hAnsi="Times New Roman"/>
          <w:color w:val="000000" w:themeColor="text1"/>
        </w:rPr>
      </w:pPr>
      <w:r w:rsidRPr="00AA512A">
        <w:rPr>
          <w:rFonts w:ascii="Times New Roman" w:hAnsi="Times New Roman"/>
          <w:color w:val="000000" w:themeColor="text1"/>
        </w:rPr>
        <w:t>Carbapenem-Resistant Enterobacteriaceae K. Pneumoniae ATCC BAA-2473</w:t>
      </w:r>
    </w:p>
    <w:p w14:paraId="548DD249" w14:textId="77777777" w:rsidR="00AA512A" w:rsidRPr="00AA512A" w:rsidRDefault="00AA512A" w:rsidP="00AA512A">
      <w:pPr>
        <w:numPr>
          <w:ilvl w:val="0"/>
          <w:numId w:val="9"/>
        </w:numPr>
        <w:contextualSpacing/>
        <w:rPr>
          <w:rFonts w:ascii="Times New Roman" w:hAnsi="Times New Roman"/>
          <w:color w:val="000000" w:themeColor="text1"/>
        </w:rPr>
      </w:pPr>
      <w:r w:rsidRPr="00AA512A">
        <w:rPr>
          <w:rFonts w:ascii="Times New Roman" w:hAnsi="Times New Roman"/>
          <w:color w:val="000000" w:themeColor="text1"/>
        </w:rPr>
        <w:t>Methicillin-resistant Staphylococcus Aureus S. aureus ATCC 33591</w:t>
      </w:r>
    </w:p>
    <w:p w14:paraId="5FC90D63" w14:textId="77777777" w:rsidR="00AA512A" w:rsidRPr="00AA512A" w:rsidRDefault="00AA512A" w:rsidP="00AA512A">
      <w:pPr>
        <w:numPr>
          <w:ilvl w:val="0"/>
          <w:numId w:val="9"/>
        </w:numPr>
        <w:contextualSpacing/>
        <w:rPr>
          <w:rFonts w:ascii="Times New Roman" w:hAnsi="Times New Roman"/>
          <w:color w:val="000000" w:themeColor="text1"/>
        </w:rPr>
      </w:pPr>
      <w:r w:rsidRPr="00AA512A">
        <w:rPr>
          <w:rFonts w:ascii="Times New Roman" w:hAnsi="Times New Roman"/>
          <w:color w:val="000000" w:themeColor="text1"/>
        </w:rPr>
        <w:t>ESBL-producing Enterobacteriaceae (extended-spectrum β- lactamases) E. coli 1744318</w:t>
      </w:r>
    </w:p>
    <w:p w14:paraId="3F138B1F" w14:textId="77777777" w:rsidR="00AA512A" w:rsidRPr="00AA512A" w:rsidRDefault="00AA512A" w:rsidP="00AA512A">
      <w:pPr>
        <w:numPr>
          <w:ilvl w:val="0"/>
          <w:numId w:val="9"/>
        </w:numPr>
        <w:contextualSpacing/>
        <w:rPr>
          <w:rFonts w:ascii="Times New Roman" w:hAnsi="Times New Roman"/>
          <w:color w:val="000000" w:themeColor="text1"/>
        </w:rPr>
      </w:pPr>
      <w:r w:rsidRPr="00AA512A">
        <w:rPr>
          <w:rFonts w:ascii="Times New Roman" w:hAnsi="Times New Roman"/>
          <w:color w:val="000000" w:themeColor="text1"/>
        </w:rPr>
        <w:t>Vancomycin-resistant Enterococcus (VRE) E. faecium 1674620</w:t>
      </w:r>
    </w:p>
    <w:p w14:paraId="6BCCFD46" w14:textId="77777777" w:rsidR="00AA512A" w:rsidRPr="00AA512A" w:rsidRDefault="00AA512A" w:rsidP="00AA512A">
      <w:pPr>
        <w:numPr>
          <w:ilvl w:val="0"/>
          <w:numId w:val="9"/>
        </w:numPr>
        <w:contextualSpacing/>
        <w:rPr>
          <w:rFonts w:ascii="Times New Roman" w:hAnsi="Times New Roman"/>
          <w:color w:val="000000" w:themeColor="text1"/>
        </w:rPr>
      </w:pPr>
      <w:r w:rsidRPr="00AA512A">
        <w:rPr>
          <w:rFonts w:ascii="Times New Roman" w:hAnsi="Times New Roman"/>
          <w:color w:val="000000" w:themeColor="text1"/>
        </w:rPr>
        <w:t>Multidrug-resistant P. aeruginosa 1674623</w:t>
      </w:r>
    </w:p>
    <w:p w14:paraId="321D5E8A" w14:textId="0984F013" w:rsidR="00AA512A" w:rsidRPr="00AA512A" w:rsidRDefault="00AA512A" w:rsidP="00AA512A">
      <w:pPr>
        <w:numPr>
          <w:ilvl w:val="0"/>
          <w:numId w:val="9"/>
        </w:numPr>
        <w:contextualSpacing/>
        <w:rPr>
          <w:rFonts w:ascii="Times New Roman" w:hAnsi="Times New Roman"/>
          <w:color w:val="000000" w:themeColor="text1"/>
        </w:rPr>
      </w:pPr>
      <w:r w:rsidRPr="00AA512A">
        <w:rPr>
          <w:rFonts w:ascii="Times New Roman" w:hAnsi="Times New Roman"/>
          <w:color w:val="000000" w:themeColor="text1"/>
        </w:rPr>
        <w:t>Multidrug-resistant Acinetobacter A. baumannii 1674627</w:t>
      </w:r>
      <w:r>
        <w:rPr>
          <w:rFonts w:ascii="Times New Roman" w:hAnsi="Times New Roman"/>
          <w:color w:val="000000" w:themeColor="text1"/>
        </w:rPr>
        <w:t>.</w:t>
      </w:r>
    </w:p>
    <w:p w14:paraId="6327E934" w14:textId="77777777" w:rsidR="00AA512A" w:rsidRDefault="00AA512A" w:rsidP="007A55ED">
      <w:pPr>
        <w:contextualSpacing/>
        <w:rPr>
          <w:rFonts w:ascii="Times New Roman" w:hAnsi="Times New Roman"/>
          <w:color w:val="000000" w:themeColor="text1"/>
        </w:rPr>
      </w:pPr>
    </w:p>
    <w:p w14:paraId="6EAB54A4" w14:textId="6851B14E" w:rsidR="002F11E3" w:rsidRPr="0010132A" w:rsidRDefault="002F11E3" w:rsidP="002F11E3">
      <w:pPr>
        <w:contextualSpacing/>
        <w:rPr>
          <w:rFonts w:ascii="Times New Roman" w:hAnsi="Times New Roman"/>
          <w:color w:val="000000" w:themeColor="text1"/>
        </w:rPr>
      </w:pPr>
    </w:p>
    <w:p w14:paraId="3DDB16E2" w14:textId="77777777" w:rsidR="002F11E3" w:rsidRPr="0027097D" w:rsidRDefault="002F11E3" w:rsidP="002F11E3">
      <w:pPr>
        <w:contextualSpacing/>
        <w:rPr>
          <w:rFonts w:ascii="Times New Roman" w:hAnsi="Times New Roman"/>
        </w:rPr>
      </w:pPr>
    </w:p>
    <w:p w14:paraId="5B36580A" w14:textId="5E375440" w:rsidR="002964FA" w:rsidRPr="002964FA" w:rsidRDefault="002964FA" w:rsidP="002F11E3">
      <w:pPr>
        <w:jc w:val="both"/>
        <w:rPr>
          <w:rFonts w:ascii="Times New Roman" w:hAnsi="Times New Roman"/>
          <w:i/>
        </w:rPr>
      </w:pPr>
    </w:p>
    <w:sectPr w:rsidR="002964FA" w:rsidRPr="002964FA" w:rsidSect="00C334F9">
      <w:headerReference w:type="default" r:id="rId24"/>
      <w:footerReference w:type="default" r:id="rId25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40EA8" w14:textId="77777777" w:rsidR="004675AB" w:rsidRDefault="004675AB">
      <w:r>
        <w:separator/>
      </w:r>
    </w:p>
  </w:endnote>
  <w:endnote w:type="continuationSeparator" w:id="0">
    <w:p w14:paraId="42A82B87" w14:textId="77777777" w:rsidR="004675AB" w:rsidRDefault="0046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color w:val="000000" w:themeColor="text1"/>
        <w:sz w:val="20"/>
        <w:szCs w:val="20"/>
      </w:rPr>
      <w:id w:val="809984714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000000" w:themeColor="text1"/>
            <w:sz w:val="20"/>
            <w:szCs w:val="20"/>
          </w:rPr>
          <w:id w:val="1186485408"/>
          <w:docPartObj>
            <w:docPartGallery w:val="Page Numbers (Top of Page)"/>
            <w:docPartUnique/>
          </w:docPartObj>
        </w:sdtPr>
        <w:sdtEndPr/>
        <w:sdtContent>
          <w:p w14:paraId="0370F7CB" w14:textId="77777777" w:rsidR="00AF56E4" w:rsidRPr="008B16F1" w:rsidRDefault="00AF56E4" w:rsidP="001D19C7">
            <w:pPr>
              <w:pStyle w:val="Footer"/>
              <w:rPr>
                <w:i/>
                <w:color w:val="000000" w:themeColor="text1"/>
                <w:sz w:val="20"/>
                <w:szCs w:val="20"/>
              </w:rPr>
            </w:pPr>
            <w:r w:rsidRPr="00F407A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Page </w:t>
            </w:r>
            <w:r w:rsidR="001921EB">
              <w:fldChar w:fldCharType="begin"/>
            </w:r>
            <w:r w:rsidR="001921EB">
              <w:instrText xml:space="preserve"> PAGE  \* Arabic  \* MERGEFORMAT </w:instrText>
            </w:r>
            <w:r w:rsidR="001921EB">
              <w:fldChar w:fldCharType="separate"/>
            </w:r>
            <w:r w:rsidR="002F11E3" w:rsidRPr="002F11E3">
              <w:rPr>
                <w:rFonts w:ascii="Times New Roman" w:hAnsi="Times New Roman"/>
                <w:b/>
                <w:i/>
                <w:noProof/>
                <w:color w:val="000000" w:themeColor="text1"/>
                <w:sz w:val="20"/>
                <w:szCs w:val="20"/>
              </w:rPr>
              <w:t>5</w:t>
            </w:r>
            <w:r w:rsidR="001921EB">
              <w:rPr>
                <w:rFonts w:ascii="Times New Roman" w:hAnsi="Times New Roman"/>
                <w:b/>
                <w:i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F407A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of </w:t>
            </w:r>
            <w:r w:rsidR="004B5A87">
              <w:rPr>
                <w:rFonts w:ascii="Times New Roman" w:hAnsi="Times New Roman"/>
                <w:b/>
                <w:i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="004B5A87">
              <w:rPr>
                <w:rFonts w:ascii="Times New Roman" w:hAnsi="Times New Roman"/>
                <w:b/>
                <w:i/>
                <w:noProof/>
                <w:color w:val="000000" w:themeColor="text1"/>
                <w:sz w:val="20"/>
                <w:szCs w:val="20"/>
              </w:rPr>
              <w:instrText xml:space="preserve"> NUMPAGES  \* Arabic  \* MERGEFORMAT </w:instrText>
            </w:r>
            <w:r w:rsidR="004B5A87">
              <w:rPr>
                <w:rFonts w:ascii="Times New Roman" w:hAnsi="Times New Roman"/>
                <w:b/>
                <w:i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2F11E3" w:rsidRPr="002F11E3">
              <w:rPr>
                <w:rFonts w:ascii="Times New Roman" w:hAnsi="Times New Roman"/>
                <w:b/>
                <w:i/>
                <w:noProof/>
                <w:color w:val="000000" w:themeColor="text1"/>
                <w:sz w:val="20"/>
                <w:szCs w:val="20"/>
              </w:rPr>
              <w:t>5</w:t>
            </w:r>
            <w:r w:rsidR="004B5A87">
              <w:rPr>
                <w:rFonts w:ascii="Times New Roman" w:hAnsi="Times New Roman"/>
                <w:b/>
                <w:i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sdtContent>
      </w:sdt>
    </w:sdtContent>
  </w:sdt>
  <w:p w14:paraId="1B7FEB5F" w14:textId="42B46CFC" w:rsidR="00041F30" w:rsidRDefault="00AF56E4" w:rsidP="00041F30">
    <w:pPr>
      <w:tabs>
        <w:tab w:val="center" w:pos="4320"/>
        <w:tab w:val="right" w:pos="8640"/>
      </w:tabs>
      <w:rPr>
        <w:rFonts w:ascii="Times New Roman" w:eastAsia="Times" w:hAnsi="Times New Roman"/>
        <w:i/>
        <w:sz w:val="20"/>
      </w:rPr>
    </w:pPr>
    <w:r w:rsidRPr="00D469D8">
      <w:rPr>
        <w:rFonts w:ascii="Times New Roman" w:eastAsia="Times" w:hAnsi="Times New Roman"/>
        <w:i/>
        <w:sz w:val="20"/>
      </w:rPr>
      <w:tab/>
    </w:r>
    <w:r w:rsidRPr="00D469D8">
      <w:rPr>
        <w:rFonts w:ascii="Times New Roman" w:eastAsia="Times" w:hAnsi="Times New Roman"/>
        <w:i/>
        <w:sz w:val="20"/>
      </w:rPr>
      <w:tab/>
      <w:t>SB-008-IFU-EU</w:t>
    </w:r>
    <w:r w:rsidR="00BE3F6E">
      <w:rPr>
        <w:rFonts w:ascii="Times New Roman" w:eastAsia="Times" w:hAnsi="Times New Roman"/>
        <w:i/>
        <w:sz w:val="20"/>
      </w:rPr>
      <w:t>-</w:t>
    </w:r>
    <w:r w:rsidR="00FE4366">
      <w:rPr>
        <w:rFonts w:ascii="Times New Roman" w:eastAsia="Times" w:hAnsi="Times New Roman"/>
        <w:i/>
        <w:sz w:val="20"/>
      </w:rPr>
      <w:t>M</w:t>
    </w:r>
  </w:p>
  <w:p w14:paraId="45FBC7A1" w14:textId="4AAAF4D8" w:rsidR="00AF56E4" w:rsidRDefault="00AF56E4" w:rsidP="00041F30">
    <w:pPr>
      <w:tabs>
        <w:tab w:val="center" w:pos="4320"/>
        <w:tab w:val="right" w:pos="8640"/>
      </w:tabs>
      <w:rPr>
        <w:rFonts w:ascii="Times New Roman" w:eastAsia="Times" w:hAnsi="Times New Roman"/>
        <w:szCs w:val="20"/>
      </w:rPr>
    </w:pPr>
    <w:r w:rsidRPr="003453A2">
      <w:rPr>
        <w:rFonts w:ascii="Times New Roman" w:eastAsia="Times" w:hAnsi="Times New Roman"/>
        <w:i/>
        <w:sz w:val="20"/>
        <w:szCs w:val="20"/>
      </w:rPr>
      <w:t>This document is confidential and the information contained herein may not be reproduced, used or disclosed without written permission of Silver Bullet Therapeutics, Inc.</w:t>
    </w:r>
  </w:p>
  <w:p w14:paraId="672637CD" w14:textId="77777777" w:rsidR="00AF56E4" w:rsidRDefault="00AF5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2EB2" w14:textId="77777777" w:rsidR="004675AB" w:rsidRDefault="004675AB">
      <w:r>
        <w:separator/>
      </w:r>
    </w:p>
  </w:footnote>
  <w:footnote w:type="continuationSeparator" w:id="0">
    <w:p w14:paraId="7D13B78F" w14:textId="77777777" w:rsidR="004675AB" w:rsidRDefault="0046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EE66" w14:textId="77777777" w:rsidR="00AF56E4" w:rsidRDefault="00AF56E4" w:rsidP="00313DEC">
    <w:pPr>
      <w:pStyle w:val="Header"/>
      <w:rPr>
        <w:b/>
        <w:bCs/>
        <w:caps/>
      </w:rPr>
    </w:pPr>
    <w:r>
      <w:rPr>
        <w:b/>
        <w:bCs/>
        <w:caps/>
      </w:rPr>
      <w:tab/>
    </w:r>
    <w:r>
      <w:rPr>
        <w:b/>
        <w:bCs/>
        <w:caps/>
        <w:noProof/>
      </w:rPr>
      <w:drawing>
        <wp:anchor distT="0" distB="0" distL="114300" distR="114300" simplePos="0" relativeHeight="251658240" behindDoc="1" locked="0" layoutInCell="1" allowOverlap="1" wp14:anchorId="7826DE95" wp14:editId="06360247">
          <wp:simplePos x="0" y="0"/>
          <wp:positionH relativeFrom="column">
            <wp:posOffset>-685800</wp:posOffset>
          </wp:positionH>
          <wp:positionV relativeFrom="paragraph">
            <wp:posOffset>-127000</wp:posOffset>
          </wp:positionV>
          <wp:extent cx="1647825" cy="659130"/>
          <wp:effectExtent l="25400" t="25400" r="28575" b="26670"/>
          <wp:wrapThrough wrapText="bothSides">
            <wp:wrapPolygon edited="0">
              <wp:start x="-333" y="-832"/>
              <wp:lineTo x="-333" y="21642"/>
              <wp:lineTo x="21642" y="21642"/>
              <wp:lineTo x="21642" y="-832"/>
              <wp:lineTo x="-333" y="-832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9130"/>
                  </a:xfrm>
                  <a:prstGeom prst="rect">
                    <a:avLst/>
                  </a:prstGeom>
                  <a:noFill/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CCB9C9" w14:textId="77777777" w:rsidR="00AF56E4" w:rsidRDefault="00AF56E4" w:rsidP="00313DEC">
    <w:pPr>
      <w:pStyle w:val="Header"/>
      <w:tabs>
        <w:tab w:val="left" w:pos="680"/>
      </w:tabs>
      <w:rPr>
        <w:b/>
        <w:bCs/>
        <w:caps/>
      </w:rPr>
    </w:pPr>
    <w:r>
      <w:rPr>
        <w:b/>
        <w:bCs/>
        <w:caps/>
      </w:rPr>
      <w:tab/>
    </w:r>
  </w:p>
  <w:p w14:paraId="7C00423C" w14:textId="77777777" w:rsidR="00AF56E4" w:rsidRDefault="00AF56E4" w:rsidP="00313DEC">
    <w:pPr>
      <w:pStyle w:val="Header"/>
      <w:jc w:val="center"/>
      <w:rPr>
        <w:b/>
        <w:bCs/>
        <w:caps/>
      </w:rPr>
    </w:pPr>
    <w:r w:rsidRPr="00B451BE">
      <w:rPr>
        <w:b/>
        <w:bCs/>
        <w:caps/>
      </w:rPr>
      <w:t>Instructions for Use</w:t>
    </w:r>
  </w:p>
  <w:p w14:paraId="30F9FF6B" w14:textId="77777777" w:rsidR="00AF56E4" w:rsidRPr="00B451BE" w:rsidRDefault="00AF56E4" w:rsidP="00B451BE">
    <w:pPr>
      <w:pStyle w:val="Header"/>
      <w:jc w:val="center"/>
      <w:rPr>
        <w:b/>
        <w:bCs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0.7pt;height:58.95pt;visibility:visible;mso-wrap-style:square" o:bullet="t">
        <v:imagedata r:id="rId1" o:title="CAJ2ZJWR"/>
      </v:shape>
    </w:pict>
  </w:numPicBullet>
  <w:abstractNum w:abstractNumId="0" w15:restartNumberingAfterBreak="0">
    <w:nsid w:val="09EB1DAE"/>
    <w:multiLevelType w:val="hybridMultilevel"/>
    <w:tmpl w:val="B2421786"/>
    <w:lvl w:ilvl="0" w:tplc="16B2FC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314F2"/>
    <w:multiLevelType w:val="hybridMultilevel"/>
    <w:tmpl w:val="643A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47EE"/>
    <w:multiLevelType w:val="hybridMultilevel"/>
    <w:tmpl w:val="7C08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3F1F"/>
    <w:multiLevelType w:val="hybridMultilevel"/>
    <w:tmpl w:val="7164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B6A78"/>
    <w:multiLevelType w:val="hybridMultilevel"/>
    <w:tmpl w:val="BC14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22D10"/>
    <w:multiLevelType w:val="hybridMultilevel"/>
    <w:tmpl w:val="1884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331FC"/>
    <w:multiLevelType w:val="hybridMultilevel"/>
    <w:tmpl w:val="A366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1305C"/>
    <w:multiLevelType w:val="hybridMultilevel"/>
    <w:tmpl w:val="F2CCFFA0"/>
    <w:lvl w:ilvl="0" w:tplc="16B2FC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19CE"/>
    <w:multiLevelType w:val="multilevel"/>
    <w:tmpl w:val="705C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F26D1B"/>
    <w:multiLevelType w:val="hybridMultilevel"/>
    <w:tmpl w:val="F72A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75"/>
    <w:rsid w:val="00012A35"/>
    <w:rsid w:val="00021FAC"/>
    <w:rsid w:val="0002283B"/>
    <w:rsid w:val="000300C7"/>
    <w:rsid w:val="00041F30"/>
    <w:rsid w:val="00047E25"/>
    <w:rsid w:val="00060A17"/>
    <w:rsid w:val="00070D09"/>
    <w:rsid w:val="00072E97"/>
    <w:rsid w:val="0009231A"/>
    <w:rsid w:val="000A4E6D"/>
    <w:rsid w:val="000A7679"/>
    <w:rsid w:val="000B1E37"/>
    <w:rsid w:val="000B2539"/>
    <w:rsid w:val="000E675A"/>
    <w:rsid w:val="000E7EE9"/>
    <w:rsid w:val="000F5F74"/>
    <w:rsid w:val="0010796D"/>
    <w:rsid w:val="0011208B"/>
    <w:rsid w:val="00121914"/>
    <w:rsid w:val="0012589A"/>
    <w:rsid w:val="00125AFE"/>
    <w:rsid w:val="001362F0"/>
    <w:rsid w:val="00136367"/>
    <w:rsid w:val="00141288"/>
    <w:rsid w:val="001412B9"/>
    <w:rsid w:val="00147C30"/>
    <w:rsid w:val="00147EBF"/>
    <w:rsid w:val="001576B0"/>
    <w:rsid w:val="00161ED5"/>
    <w:rsid w:val="001632A9"/>
    <w:rsid w:val="00166727"/>
    <w:rsid w:val="00191ECF"/>
    <w:rsid w:val="001921EB"/>
    <w:rsid w:val="001954C8"/>
    <w:rsid w:val="001976A4"/>
    <w:rsid w:val="001A2795"/>
    <w:rsid w:val="001A3384"/>
    <w:rsid w:val="001A731A"/>
    <w:rsid w:val="001B4E1A"/>
    <w:rsid w:val="001C3E3D"/>
    <w:rsid w:val="001C5342"/>
    <w:rsid w:val="001C65E3"/>
    <w:rsid w:val="001D19C7"/>
    <w:rsid w:val="001D7077"/>
    <w:rsid w:val="001E0D3B"/>
    <w:rsid w:val="001E14EC"/>
    <w:rsid w:val="001F5419"/>
    <w:rsid w:val="00221477"/>
    <w:rsid w:val="00226214"/>
    <w:rsid w:val="00227150"/>
    <w:rsid w:val="00243667"/>
    <w:rsid w:val="00243CCA"/>
    <w:rsid w:val="0025422E"/>
    <w:rsid w:val="00264900"/>
    <w:rsid w:val="00286CC9"/>
    <w:rsid w:val="00295276"/>
    <w:rsid w:val="002964FA"/>
    <w:rsid w:val="002A4D9A"/>
    <w:rsid w:val="002A50EB"/>
    <w:rsid w:val="002A768D"/>
    <w:rsid w:val="002B1952"/>
    <w:rsid w:val="002C7912"/>
    <w:rsid w:val="002D0399"/>
    <w:rsid w:val="002D79DB"/>
    <w:rsid w:val="002E32B2"/>
    <w:rsid w:val="002F11E3"/>
    <w:rsid w:val="00302193"/>
    <w:rsid w:val="003049E6"/>
    <w:rsid w:val="00310DFC"/>
    <w:rsid w:val="0031140E"/>
    <w:rsid w:val="00313DEC"/>
    <w:rsid w:val="00316FA2"/>
    <w:rsid w:val="00333DC1"/>
    <w:rsid w:val="00334AA2"/>
    <w:rsid w:val="00337ABF"/>
    <w:rsid w:val="003401BD"/>
    <w:rsid w:val="00342CAF"/>
    <w:rsid w:val="00351411"/>
    <w:rsid w:val="00372045"/>
    <w:rsid w:val="00390A4F"/>
    <w:rsid w:val="003B0A58"/>
    <w:rsid w:val="003B6661"/>
    <w:rsid w:val="003C1586"/>
    <w:rsid w:val="003E2E7E"/>
    <w:rsid w:val="003E4D3D"/>
    <w:rsid w:val="003F2DFA"/>
    <w:rsid w:val="003F52BD"/>
    <w:rsid w:val="00407F8A"/>
    <w:rsid w:val="00410258"/>
    <w:rsid w:val="0041040E"/>
    <w:rsid w:val="004305BF"/>
    <w:rsid w:val="0043530A"/>
    <w:rsid w:val="00441131"/>
    <w:rsid w:val="004418FC"/>
    <w:rsid w:val="00446922"/>
    <w:rsid w:val="00451005"/>
    <w:rsid w:val="004518E8"/>
    <w:rsid w:val="00452F78"/>
    <w:rsid w:val="00464492"/>
    <w:rsid w:val="00466EAA"/>
    <w:rsid w:val="004675AB"/>
    <w:rsid w:val="004762F0"/>
    <w:rsid w:val="004A571A"/>
    <w:rsid w:val="004B5A87"/>
    <w:rsid w:val="004C1B1E"/>
    <w:rsid w:val="004D105E"/>
    <w:rsid w:val="004D74DE"/>
    <w:rsid w:val="004E4E21"/>
    <w:rsid w:val="004E5B11"/>
    <w:rsid w:val="004E6ACA"/>
    <w:rsid w:val="004F06A2"/>
    <w:rsid w:val="004F1613"/>
    <w:rsid w:val="00512A39"/>
    <w:rsid w:val="005160FD"/>
    <w:rsid w:val="0052175B"/>
    <w:rsid w:val="00523305"/>
    <w:rsid w:val="005245BE"/>
    <w:rsid w:val="00525028"/>
    <w:rsid w:val="00534B63"/>
    <w:rsid w:val="00540791"/>
    <w:rsid w:val="00541906"/>
    <w:rsid w:val="0055028E"/>
    <w:rsid w:val="00553189"/>
    <w:rsid w:val="00556E4E"/>
    <w:rsid w:val="0058335E"/>
    <w:rsid w:val="00593396"/>
    <w:rsid w:val="005A0B3C"/>
    <w:rsid w:val="005A38D5"/>
    <w:rsid w:val="005C7D5E"/>
    <w:rsid w:val="005D71EC"/>
    <w:rsid w:val="005E39A0"/>
    <w:rsid w:val="005E49AB"/>
    <w:rsid w:val="005E7E92"/>
    <w:rsid w:val="00601AA9"/>
    <w:rsid w:val="006023CF"/>
    <w:rsid w:val="00623DB9"/>
    <w:rsid w:val="006429D3"/>
    <w:rsid w:val="00642D22"/>
    <w:rsid w:val="00691537"/>
    <w:rsid w:val="00693268"/>
    <w:rsid w:val="00694C30"/>
    <w:rsid w:val="006A1524"/>
    <w:rsid w:val="006B2838"/>
    <w:rsid w:val="006C0D03"/>
    <w:rsid w:val="006C32F5"/>
    <w:rsid w:val="006D739E"/>
    <w:rsid w:val="006E63FC"/>
    <w:rsid w:val="006F0165"/>
    <w:rsid w:val="006F0461"/>
    <w:rsid w:val="006F1E30"/>
    <w:rsid w:val="0070738E"/>
    <w:rsid w:val="007273AC"/>
    <w:rsid w:val="00732EF0"/>
    <w:rsid w:val="0074140E"/>
    <w:rsid w:val="0074746A"/>
    <w:rsid w:val="0075030B"/>
    <w:rsid w:val="007538D4"/>
    <w:rsid w:val="0076570A"/>
    <w:rsid w:val="00774D3C"/>
    <w:rsid w:val="0078354E"/>
    <w:rsid w:val="00790F92"/>
    <w:rsid w:val="007A1F41"/>
    <w:rsid w:val="007A4947"/>
    <w:rsid w:val="007A55ED"/>
    <w:rsid w:val="007B7887"/>
    <w:rsid w:val="007D3DBB"/>
    <w:rsid w:val="007D7723"/>
    <w:rsid w:val="007D786A"/>
    <w:rsid w:val="007E2009"/>
    <w:rsid w:val="007E39F4"/>
    <w:rsid w:val="007F7AFB"/>
    <w:rsid w:val="008122CB"/>
    <w:rsid w:val="0082365A"/>
    <w:rsid w:val="00840A89"/>
    <w:rsid w:val="00843D82"/>
    <w:rsid w:val="00845258"/>
    <w:rsid w:val="0087213F"/>
    <w:rsid w:val="0088580E"/>
    <w:rsid w:val="00891F43"/>
    <w:rsid w:val="008A45F6"/>
    <w:rsid w:val="008A46BE"/>
    <w:rsid w:val="008A73C3"/>
    <w:rsid w:val="008B4641"/>
    <w:rsid w:val="008B791A"/>
    <w:rsid w:val="008C2EE3"/>
    <w:rsid w:val="008D5F3E"/>
    <w:rsid w:val="008F12E2"/>
    <w:rsid w:val="0090449D"/>
    <w:rsid w:val="00927B10"/>
    <w:rsid w:val="00944ACF"/>
    <w:rsid w:val="00957936"/>
    <w:rsid w:val="00960615"/>
    <w:rsid w:val="0096357A"/>
    <w:rsid w:val="00971932"/>
    <w:rsid w:val="00973D7B"/>
    <w:rsid w:val="00977729"/>
    <w:rsid w:val="0098295C"/>
    <w:rsid w:val="00983A84"/>
    <w:rsid w:val="00983FA9"/>
    <w:rsid w:val="009B0090"/>
    <w:rsid w:val="009B7A47"/>
    <w:rsid w:val="009C0A66"/>
    <w:rsid w:val="009C758E"/>
    <w:rsid w:val="009D3D9D"/>
    <w:rsid w:val="009D4F7A"/>
    <w:rsid w:val="009D6B47"/>
    <w:rsid w:val="009E61CC"/>
    <w:rsid w:val="009F17FF"/>
    <w:rsid w:val="009F4C8F"/>
    <w:rsid w:val="009F647D"/>
    <w:rsid w:val="00A13D17"/>
    <w:rsid w:val="00A15DE0"/>
    <w:rsid w:val="00A24C18"/>
    <w:rsid w:val="00A3247B"/>
    <w:rsid w:val="00A35B21"/>
    <w:rsid w:val="00A56135"/>
    <w:rsid w:val="00A56B61"/>
    <w:rsid w:val="00A63FA1"/>
    <w:rsid w:val="00A66EDF"/>
    <w:rsid w:val="00A673B7"/>
    <w:rsid w:val="00A721D1"/>
    <w:rsid w:val="00A764D0"/>
    <w:rsid w:val="00A842A7"/>
    <w:rsid w:val="00A90801"/>
    <w:rsid w:val="00A926EE"/>
    <w:rsid w:val="00A95AE2"/>
    <w:rsid w:val="00AA512A"/>
    <w:rsid w:val="00AA7478"/>
    <w:rsid w:val="00AB128F"/>
    <w:rsid w:val="00AB1AF9"/>
    <w:rsid w:val="00AB4DF0"/>
    <w:rsid w:val="00AC534C"/>
    <w:rsid w:val="00AD1BEA"/>
    <w:rsid w:val="00AD577A"/>
    <w:rsid w:val="00AF2BB6"/>
    <w:rsid w:val="00AF56E4"/>
    <w:rsid w:val="00B0293F"/>
    <w:rsid w:val="00B224B5"/>
    <w:rsid w:val="00B256FC"/>
    <w:rsid w:val="00B341F8"/>
    <w:rsid w:val="00B451BE"/>
    <w:rsid w:val="00B554C2"/>
    <w:rsid w:val="00B62D7C"/>
    <w:rsid w:val="00B63C44"/>
    <w:rsid w:val="00B9130C"/>
    <w:rsid w:val="00BC0537"/>
    <w:rsid w:val="00BD7F80"/>
    <w:rsid w:val="00BE379A"/>
    <w:rsid w:val="00BE3F6E"/>
    <w:rsid w:val="00BE54A4"/>
    <w:rsid w:val="00BF3B31"/>
    <w:rsid w:val="00C070A7"/>
    <w:rsid w:val="00C23A93"/>
    <w:rsid w:val="00C24914"/>
    <w:rsid w:val="00C31EFD"/>
    <w:rsid w:val="00C334F9"/>
    <w:rsid w:val="00C466E3"/>
    <w:rsid w:val="00C55CFD"/>
    <w:rsid w:val="00C62229"/>
    <w:rsid w:val="00C711A3"/>
    <w:rsid w:val="00C71A5F"/>
    <w:rsid w:val="00C75BEC"/>
    <w:rsid w:val="00CA0C2C"/>
    <w:rsid w:val="00CA77A2"/>
    <w:rsid w:val="00CB0564"/>
    <w:rsid w:val="00CB6F75"/>
    <w:rsid w:val="00CB7F45"/>
    <w:rsid w:val="00CC3A58"/>
    <w:rsid w:val="00CC5750"/>
    <w:rsid w:val="00D00720"/>
    <w:rsid w:val="00D22A59"/>
    <w:rsid w:val="00D23DBB"/>
    <w:rsid w:val="00D3154B"/>
    <w:rsid w:val="00D45AAC"/>
    <w:rsid w:val="00D469D8"/>
    <w:rsid w:val="00D63A0E"/>
    <w:rsid w:val="00D72F75"/>
    <w:rsid w:val="00D8287C"/>
    <w:rsid w:val="00D916ED"/>
    <w:rsid w:val="00DB1D17"/>
    <w:rsid w:val="00DB27AC"/>
    <w:rsid w:val="00DC745A"/>
    <w:rsid w:val="00DD2657"/>
    <w:rsid w:val="00DE0739"/>
    <w:rsid w:val="00DE7698"/>
    <w:rsid w:val="00DF3292"/>
    <w:rsid w:val="00DF78A9"/>
    <w:rsid w:val="00E03613"/>
    <w:rsid w:val="00E0761B"/>
    <w:rsid w:val="00E11D97"/>
    <w:rsid w:val="00E13B09"/>
    <w:rsid w:val="00E42157"/>
    <w:rsid w:val="00E42472"/>
    <w:rsid w:val="00E502FB"/>
    <w:rsid w:val="00E53F45"/>
    <w:rsid w:val="00E64198"/>
    <w:rsid w:val="00E86045"/>
    <w:rsid w:val="00EA2D0E"/>
    <w:rsid w:val="00EB3752"/>
    <w:rsid w:val="00ED4EA0"/>
    <w:rsid w:val="00ED7FC5"/>
    <w:rsid w:val="00EE095F"/>
    <w:rsid w:val="00EE7F2E"/>
    <w:rsid w:val="00EF11EE"/>
    <w:rsid w:val="00EF324E"/>
    <w:rsid w:val="00F05AC2"/>
    <w:rsid w:val="00F21421"/>
    <w:rsid w:val="00F2207A"/>
    <w:rsid w:val="00F25A72"/>
    <w:rsid w:val="00F3016D"/>
    <w:rsid w:val="00F407AC"/>
    <w:rsid w:val="00F46363"/>
    <w:rsid w:val="00F501D7"/>
    <w:rsid w:val="00F511E0"/>
    <w:rsid w:val="00F5629F"/>
    <w:rsid w:val="00F61661"/>
    <w:rsid w:val="00F644B6"/>
    <w:rsid w:val="00F71D6F"/>
    <w:rsid w:val="00F76B4E"/>
    <w:rsid w:val="00F7712F"/>
    <w:rsid w:val="00F81FCD"/>
    <w:rsid w:val="00F87AB6"/>
    <w:rsid w:val="00F87F1F"/>
    <w:rsid w:val="00F9289B"/>
    <w:rsid w:val="00F935F4"/>
    <w:rsid w:val="00F951A2"/>
    <w:rsid w:val="00F9751B"/>
    <w:rsid w:val="00FB3BC1"/>
    <w:rsid w:val="00FC5710"/>
    <w:rsid w:val="00FE12C3"/>
    <w:rsid w:val="00FE4366"/>
    <w:rsid w:val="00FF18F3"/>
    <w:rsid w:val="00FF1E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298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F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rsid w:val="00D72F75"/>
    <w:pPr>
      <w:ind w:left="720"/>
      <w:contextualSpacing/>
    </w:pPr>
  </w:style>
  <w:style w:type="paragraph" w:styleId="Header">
    <w:name w:val="header"/>
    <w:basedOn w:val="Normal"/>
    <w:link w:val="HeaderChar"/>
    <w:rsid w:val="00A46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62B6"/>
  </w:style>
  <w:style w:type="paragraph" w:styleId="Footer">
    <w:name w:val="footer"/>
    <w:basedOn w:val="Normal"/>
    <w:link w:val="FooterChar"/>
    <w:uiPriority w:val="99"/>
    <w:rsid w:val="00A46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2B6"/>
  </w:style>
  <w:style w:type="paragraph" w:styleId="BalloonText">
    <w:name w:val="Balloon Text"/>
    <w:basedOn w:val="Normal"/>
    <w:link w:val="BalloonTextChar"/>
    <w:rsid w:val="00C502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50258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C93D35"/>
    <w:rPr>
      <w:sz w:val="18"/>
      <w:szCs w:val="18"/>
    </w:rPr>
  </w:style>
  <w:style w:type="paragraph" w:styleId="CommentText">
    <w:name w:val="annotation text"/>
    <w:basedOn w:val="Normal"/>
    <w:link w:val="CommentTextChar"/>
    <w:rsid w:val="00C93D35"/>
  </w:style>
  <w:style w:type="character" w:customStyle="1" w:styleId="CommentTextChar">
    <w:name w:val="Comment Text Char"/>
    <w:basedOn w:val="DefaultParagraphFont"/>
    <w:link w:val="CommentText"/>
    <w:rsid w:val="00C93D35"/>
  </w:style>
  <w:style w:type="paragraph" w:styleId="CommentSubject">
    <w:name w:val="annotation subject"/>
    <w:basedOn w:val="CommentText"/>
    <w:next w:val="CommentText"/>
    <w:link w:val="CommentSubjectChar"/>
    <w:rsid w:val="00C93D3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93D35"/>
    <w:rPr>
      <w:b/>
      <w:bCs/>
      <w:sz w:val="20"/>
      <w:szCs w:val="20"/>
    </w:rPr>
  </w:style>
  <w:style w:type="character" w:styleId="PageNumber">
    <w:name w:val="page number"/>
    <w:rsid w:val="00C334F9"/>
  </w:style>
  <w:style w:type="character" w:styleId="Emphasis">
    <w:name w:val="Emphasis"/>
    <w:basedOn w:val="DefaultParagraphFont"/>
    <w:qFormat/>
    <w:rsid w:val="00B62D7C"/>
    <w:rPr>
      <w:i/>
      <w:iCs/>
    </w:rPr>
  </w:style>
  <w:style w:type="paragraph" w:styleId="Revision">
    <w:name w:val="Revision"/>
    <w:hidden/>
    <w:semiHidden/>
    <w:rsid w:val="005160FD"/>
  </w:style>
  <w:style w:type="paragraph" w:styleId="ListParagraph">
    <w:name w:val="List Paragraph"/>
    <w:basedOn w:val="Normal"/>
    <w:rsid w:val="004305BF"/>
    <w:pPr>
      <w:ind w:left="720"/>
      <w:contextualSpacing/>
    </w:pPr>
  </w:style>
  <w:style w:type="character" w:styleId="Hyperlink">
    <w:name w:val="Hyperlink"/>
    <w:basedOn w:val="DefaultParagraphFont"/>
    <w:rsid w:val="00C71A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C71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822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  <w:divsChild>
                <w:div w:id="895122181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</w:divsChild>
            </w:div>
          </w:divsChild>
        </w:div>
      </w:divsChild>
    </w:div>
    <w:div w:id="495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39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  <w:divsChild>
                <w:div w:id="973413570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</w:divsChild>
            </w:div>
          </w:divsChild>
        </w:div>
      </w:divsChild>
    </w:div>
    <w:div w:id="1166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btx.com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source=images&amp;cd=&amp;cad=rja&amp;docid=as2I2F2nHxqhqM&amp;tbnid=FHNl3m_iHuYBqM:&amp;ved=0CAgQjRwwAA&amp;url=http://www.fertipro.com/index.php?page=qc&amp;sub=labels&amp;ei=CX9pUrzMGIWpiQKhp4GoBg&amp;psig=AFQjCNG4u0jm5hQm6S2P-zPNmgUMsSzq1A&amp;ust=1382731913465057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13 510k Draft IFU</vt:lpstr>
    </vt:vector>
  </TitlesOfParts>
  <Company>Silver Bullet Therapeutics, Inc.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13 510k Draft IFU</dc:title>
  <dc:creator>Paul Chirico</dc:creator>
  <cp:lastModifiedBy>houdin dehnad</cp:lastModifiedBy>
  <cp:revision>2</cp:revision>
  <cp:lastPrinted>2018-04-05T19:57:00Z</cp:lastPrinted>
  <dcterms:created xsi:type="dcterms:W3CDTF">2021-02-26T20:03:00Z</dcterms:created>
  <dcterms:modified xsi:type="dcterms:W3CDTF">2021-02-26T20:03:00Z</dcterms:modified>
</cp:coreProperties>
</file>